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97B9" w14:textId="77777777" w:rsidR="00A23387" w:rsidRPr="007545D2" w:rsidRDefault="00A23387" w:rsidP="007545D2">
      <w:pPr>
        <w:pStyle w:val="Title"/>
        <w:jc w:val="center"/>
        <w:rPr>
          <w:rFonts w:asciiTheme="minorHAnsi" w:hAnsiTheme="minorHAnsi" w:cstheme="minorHAnsi"/>
          <w:color w:val="auto"/>
          <w:sz w:val="40"/>
        </w:rPr>
      </w:pPr>
      <w:r w:rsidRPr="007545D2">
        <w:rPr>
          <w:rFonts w:asciiTheme="minorHAnsi" w:hAnsiTheme="minorHAnsi" w:cstheme="minorHAnsi"/>
          <w:color w:val="auto"/>
          <w:sz w:val="28"/>
          <w:szCs w:val="28"/>
        </w:rPr>
        <w:t xml:space="preserve">Call for Papers </w:t>
      </w:r>
      <w:r w:rsidRPr="007545D2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7545D2">
        <w:rPr>
          <w:rFonts w:asciiTheme="minorHAnsi" w:hAnsiTheme="minorHAnsi" w:cstheme="minorHAnsi"/>
          <w:color w:val="auto"/>
          <w:sz w:val="40"/>
        </w:rPr>
        <w:t xml:space="preserve">WCTR Society’s SIG G2 Mid-Term </w:t>
      </w:r>
      <w:r w:rsidR="002D3F73" w:rsidRPr="007545D2">
        <w:rPr>
          <w:rFonts w:asciiTheme="minorHAnsi" w:hAnsiTheme="minorHAnsi" w:cstheme="minorHAnsi"/>
          <w:color w:val="auto"/>
          <w:sz w:val="40"/>
        </w:rPr>
        <w:t>Events</w:t>
      </w:r>
    </w:p>
    <w:p w14:paraId="009E76BE" w14:textId="07696987" w:rsidR="00A23387" w:rsidRPr="007545D2" w:rsidRDefault="00A23387" w:rsidP="007545D2">
      <w:pPr>
        <w:pStyle w:val="Subtitle"/>
        <w:jc w:val="center"/>
        <w:rPr>
          <w:b/>
          <w:color w:val="auto"/>
          <w:sz w:val="36"/>
        </w:rPr>
      </w:pPr>
      <w:r w:rsidRPr="007545D2">
        <w:rPr>
          <w:b/>
          <w:color w:val="auto"/>
          <w:sz w:val="36"/>
        </w:rPr>
        <w:t>“</w:t>
      </w:r>
      <w:r w:rsidR="00B96E64" w:rsidRPr="007545D2">
        <w:rPr>
          <w:b/>
          <w:color w:val="auto"/>
          <w:sz w:val="36"/>
        </w:rPr>
        <w:t xml:space="preserve">Ensuring sustainable mobility </w:t>
      </w:r>
      <w:r w:rsidR="001F1281" w:rsidRPr="007545D2">
        <w:rPr>
          <w:b/>
          <w:color w:val="auto"/>
          <w:sz w:val="36"/>
        </w:rPr>
        <w:t>in urban periphery and rural areas and remote regions</w:t>
      </w:r>
      <w:r w:rsidRPr="007545D2">
        <w:rPr>
          <w:b/>
          <w:color w:val="auto"/>
          <w:sz w:val="36"/>
        </w:rPr>
        <w:t>”</w:t>
      </w:r>
    </w:p>
    <w:p w14:paraId="720213E4" w14:textId="6403DD19" w:rsidR="00F85C51" w:rsidRPr="00D97AC7" w:rsidRDefault="00D97AC7" w:rsidP="00F85C51">
      <w:pPr>
        <w:jc w:val="center"/>
        <w:rPr>
          <w:b/>
          <w:color w:val="5F497A" w:themeColor="accent4" w:themeShade="BF"/>
        </w:rPr>
      </w:pPr>
      <w:r w:rsidRPr="006B3F3C">
        <w:rPr>
          <w:b/>
          <w:color w:val="984806" w:themeColor="accent6" w:themeShade="80"/>
        </w:rPr>
        <w:t xml:space="preserve">Update </w:t>
      </w:r>
      <w:r>
        <w:rPr>
          <w:b/>
          <w:color w:val="984806" w:themeColor="accent6" w:themeShade="80"/>
        </w:rPr>
        <w:t>3</w:t>
      </w:r>
      <w:r w:rsidRPr="00D97AC7">
        <w:rPr>
          <w:b/>
          <w:color w:val="984806" w:themeColor="accent6" w:themeShade="80"/>
          <w:vertAlign w:val="superscript"/>
        </w:rPr>
        <w:t>rd</w:t>
      </w:r>
      <w:r>
        <w:rPr>
          <w:b/>
          <w:color w:val="984806" w:themeColor="accent6" w:themeShade="80"/>
        </w:rPr>
        <w:t xml:space="preserve"> </w:t>
      </w:r>
      <w:r w:rsidRPr="006B3F3C">
        <w:rPr>
          <w:b/>
          <w:color w:val="984806" w:themeColor="accent6" w:themeShade="80"/>
        </w:rPr>
        <w:t>May 202</w:t>
      </w:r>
      <w:r>
        <w:rPr>
          <w:b/>
          <w:color w:val="984806" w:themeColor="accent6" w:themeShade="80"/>
        </w:rPr>
        <w:t>1</w:t>
      </w:r>
      <w:r w:rsidRPr="006B3F3C">
        <w:rPr>
          <w:b/>
          <w:color w:val="984806" w:themeColor="accent6" w:themeShade="80"/>
        </w:rPr>
        <w:t xml:space="preserve"> (</w:t>
      </w:r>
      <w:r>
        <w:rPr>
          <w:b/>
          <w:color w:val="984806" w:themeColor="accent6" w:themeShade="80"/>
        </w:rPr>
        <w:t>dark orange</w:t>
      </w:r>
      <w:r w:rsidRPr="006B3F3C">
        <w:rPr>
          <w:b/>
          <w:color w:val="984806" w:themeColor="accent6" w:themeShade="80"/>
        </w:rPr>
        <w:t xml:space="preserve"> fonts)</w:t>
      </w:r>
      <w:r>
        <w:rPr>
          <w:b/>
          <w:color w:val="984806" w:themeColor="accent6" w:themeShade="80"/>
        </w:rPr>
        <w:t xml:space="preserve"> </w:t>
      </w:r>
      <w:r w:rsidRPr="00D97AC7">
        <w:rPr>
          <w:b/>
          <w:color w:val="000000" w:themeColor="text1"/>
        </w:rPr>
        <w:t>&amp;</w:t>
      </w:r>
      <w:r>
        <w:rPr>
          <w:b/>
          <w:color w:val="984806" w:themeColor="accent6" w:themeShade="80"/>
        </w:rPr>
        <w:t xml:space="preserve"> </w:t>
      </w:r>
      <w:r w:rsidR="00F85C51" w:rsidRPr="005F5C2B">
        <w:rPr>
          <w:b/>
          <w:color w:val="00B050"/>
        </w:rPr>
        <w:t xml:space="preserve">Update </w:t>
      </w:r>
      <w:r w:rsidRPr="005F5C2B">
        <w:rPr>
          <w:b/>
          <w:color w:val="00B050"/>
        </w:rPr>
        <w:t>12</w:t>
      </w:r>
      <w:r w:rsidRPr="005F5C2B">
        <w:rPr>
          <w:b/>
          <w:color w:val="00B050"/>
          <w:vertAlign w:val="superscript"/>
        </w:rPr>
        <w:t>th</w:t>
      </w:r>
      <w:r w:rsidR="00F85C51" w:rsidRPr="005F5C2B">
        <w:rPr>
          <w:b/>
          <w:color w:val="00B050"/>
        </w:rPr>
        <w:t xml:space="preserve"> May 202</w:t>
      </w:r>
      <w:r w:rsidRPr="005F5C2B">
        <w:rPr>
          <w:b/>
          <w:color w:val="00B050"/>
        </w:rPr>
        <w:t>1</w:t>
      </w:r>
      <w:r w:rsidR="00F85C51" w:rsidRPr="005F5C2B">
        <w:rPr>
          <w:b/>
          <w:color w:val="00B050"/>
        </w:rPr>
        <w:t xml:space="preserve"> (</w:t>
      </w:r>
      <w:r w:rsidR="00D944BC" w:rsidRPr="005F5C2B">
        <w:rPr>
          <w:b/>
          <w:color w:val="00B050"/>
        </w:rPr>
        <w:t>green</w:t>
      </w:r>
      <w:r w:rsidR="00F85C51" w:rsidRPr="005F5C2B">
        <w:rPr>
          <w:b/>
          <w:color w:val="00B050"/>
        </w:rPr>
        <w:t xml:space="preserve"> fonts)</w:t>
      </w:r>
      <w:r w:rsidR="007545D2" w:rsidRPr="005F5C2B">
        <w:rPr>
          <w:b/>
          <w:color w:val="00B050"/>
        </w:rPr>
        <w:t xml:space="preserve"> (emphasis for screen readers)</w:t>
      </w:r>
    </w:p>
    <w:p w14:paraId="5A3E0507" w14:textId="77777777" w:rsidR="002D70C0" w:rsidRDefault="002D70C0" w:rsidP="002D70C0">
      <w:pPr>
        <w:pStyle w:val="Heading1"/>
      </w:pPr>
      <w:r>
        <w:t>Introduction</w:t>
      </w:r>
    </w:p>
    <w:p w14:paraId="0CA9C74B" w14:textId="281DDDFE" w:rsidR="00B478BC" w:rsidRDefault="00B478BC">
      <w:r>
        <w:t xml:space="preserve">In urban areas, </w:t>
      </w:r>
      <w:r w:rsidR="00946B7E">
        <w:t>diffusion</w:t>
      </w:r>
      <w:r>
        <w:t xml:space="preserve"> of goal-oriented transport planning, </w:t>
      </w:r>
      <w:r w:rsidR="00946B7E">
        <w:t>high-frequency public transport services combined with</w:t>
      </w:r>
      <w:r>
        <w:t xml:space="preserve"> New Mobility Services</w:t>
      </w:r>
      <w:r w:rsidR="00946B7E">
        <w:t xml:space="preserve"> such as car sharing and bike sharing</w:t>
      </w:r>
      <w:r>
        <w:t xml:space="preserve"> that serve as alternatives to private motorized vehicles, and land-use and transport integration have led to</w:t>
      </w:r>
      <w:r w:rsidR="00946B7E">
        <w:t xml:space="preserve"> uptakes of sustainable urban transport planning. On the contrary, in urban peripheries, rural areas and remote regions, reduction of automobile-dependency </w:t>
      </w:r>
      <w:r w:rsidR="006A36AE">
        <w:t>is becoming increasingly challenging in light of the climate goals (e.g. greenhouse gas reduction), socio</w:t>
      </w:r>
      <w:r w:rsidR="00885061">
        <w:t>-</w:t>
      </w:r>
      <w:r w:rsidR="006A36AE">
        <w:t>demographic transitions (e.g. ageing of society), and regional economies</w:t>
      </w:r>
      <w:r w:rsidR="00966C38">
        <w:t xml:space="preserve"> (e.g. </w:t>
      </w:r>
      <w:r w:rsidR="00966C38" w:rsidRPr="00966C38">
        <w:t xml:space="preserve">industrial </w:t>
      </w:r>
      <w:r w:rsidR="00966C38">
        <w:t>policy)</w:t>
      </w:r>
      <w:r w:rsidR="006A36AE">
        <w:t xml:space="preserve">. </w:t>
      </w:r>
      <w:r w:rsidR="00CC7A86">
        <w:t>While intercity transport has attracted much attention in transport research, everyday mobility in urban peripheries, rural areas and remote regions</w:t>
      </w:r>
      <w:r w:rsidR="006A36AE">
        <w:t xml:space="preserve"> is a rather unexplored areas of transport research that is attracting much attention.</w:t>
      </w:r>
      <w:r w:rsidR="005D6E9A">
        <w:t xml:space="preserve"> It covers a wide range of topics from </w:t>
      </w:r>
      <w:r w:rsidR="009716CF">
        <w:t>national and regional strategies to concrete services, from theoretical approach to practic</w:t>
      </w:r>
      <w:r w:rsidR="00660693">
        <w:t>al approach</w:t>
      </w:r>
      <w:r w:rsidR="009716CF">
        <w:t xml:space="preserve">, and from general </w:t>
      </w:r>
      <w:r w:rsidR="008F238F">
        <w:t xml:space="preserve">macroscopic </w:t>
      </w:r>
      <w:r w:rsidR="009716CF">
        <w:t>perspective</w:t>
      </w:r>
      <w:r w:rsidR="009B24DA">
        <w:t>s</w:t>
      </w:r>
      <w:r w:rsidR="009716CF">
        <w:t xml:space="preserve"> to specific user groups.</w:t>
      </w:r>
    </w:p>
    <w:p w14:paraId="61B724D1" w14:textId="3C6B35F7" w:rsidR="002D70C0" w:rsidRDefault="00EF6A31" w:rsidP="002D70C0">
      <w:pPr>
        <w:pStyle w:val="Heading1"/>
      </w:pPr>
      <w:r>
        <w:t>S</w:t>
      </w:r>
      <w:r w:rsidR="002D70C0">
        <w:t>cope</w:t>
      </w:r>
    </w:p>
    <w:p w14:paraId="20F3339A" w14:textId="52C974CA" w:rsidR="009B24DA" w:rsidRDefault="00EF6A31">
      <w:r>
        <w:t xml:space="preserve">In light of this, </w:t>
      </w:r>
      <w:r w:rsidR="00410D19">
        <w:t>for</w:t>
      </w:r>
      <w:r w:rsidR="006928E7">
        <w:t xml:space="preserve"> th</w:t>
      </w:r>
      <w:r>
        <w:t>e</w:t>
      </w:r>
      <w:r w:rsidR="006928E7">
        <w:t xml:space="preserve"> upcoming </w:t>
      </w:r>
      <w:r w:rsidR="006928E7" w:rsidRPr="00410D19">
        <w:rPr>
          <w:b/>
        </w:rPr>
        <w:t>mid-term event</w:t>
      </w:r>
      <w:r w:rsidR="006928E7">
        <w:t xml:space="preserve">, </w:t>
      </w:r>
      <w:r w:rsidR="00CC0530">
        <w:t>WCTR Special Interest Group G2 National and Regional Transport Policy and Planning</w:t>
      </w:r>
      <w:r w:rsidR="006928E7">
        <w:t xml:space="preserve"> would like to encourage you to submit the paper addressing</w:t>
      </w:r>
      <w:r w:rsidR="002D7096">
        <w:t xml:space="preserve"> </w:t>
      </w:r>
      <w:r w:rsidR="009B24DA">
        <w:t xml:space="preserve">following </w:t>
      </w:r>
      <w:r w:rsidR="002D7096">
        <w:t xml:space="preserve">research </w:t>
      </w:r>
      <w:r w:rsidR="001E79BC">
        <w:t>topics.</w:t>
      </w:r>
      <w:r w:rsidR="00CC7A86">
        <w:t xml:space="preserve"> We particularly encourage papers focusing on everyday mobility, but </w:t>
      </w:r>
      <w:r w:rsidR="003E7E64">
        <w:t xml:space="preserve">we also welcome </w:t>
      </w:r>
      <w:r w:rsidR="00CC7A86">
        <w:t xml:space="preserve">papers dealing with </w:t>
      </w:r>
      <w:r w:rsidR="006F3684">
        <w:t>tourism and leisure mobility</w:t>
      </w:r>
      <w:r w:rsidR="00C3516E">
        <w:t>, other types of occasional mobility</w:t>
      </w:r>
      <w:r w:rsidR="006F3684">
        <w:t xml:space="preserve"> and </w:t>
      </w:r>
      <w:r w:rsidR="00CC7A86">
        <w:t>intercity transport</w:t>
      </w:r>
      <w:r w:rsidR="003E7E64">
        <w:t xml:space="preserve"> addressing the following research topics.</w:t>
      </w:r>
    </w:p>
    <w:p w14:paraId="0483A08C" w14:textId="5B6867CC" w:rsidR="00AF47CC" w:rsidRDefault="007C5C9D" w:rsidP="00AF47CC">
      <w:pPr>
        <w:pStyle w:val="ListParagraph"/>
        <w:numPr>
          <w:ilvl w:val="0"/>
          <w:numId w:val="5"/>
        </w:numPr>
      </w:pPr>
      <w:r>
        <w:t xml:space="preserve">National and/or regional strategies to ensure </w:t>
      </w:r>
      <w:r w:rsidR="00AF47CC">
        <w:t>mobility of the people without owning private motorized vehicles in urban peripheries, rural areas and remote regions</w:t>
      </w:r>
    </w:p>
    <w:p w14:paraId="37631534" w14:textId="24249180" w:rsidR="00C35B81" w:rsidRDefault="001E79BC" w:rsidP="00AF47CC">
      <w:pPr>
        <w:pStyle w:val="ListParagraph"/>
        <w:numPr>
          <w:ilvl w:val="0"/>
          <w:numId w:val="5"/>
        </w:numPr>
      </w:pPr>
      <w:r>
        <w:t>Role of</w:t>
      </w:r>
      <w:r w:rsidR="00C35B81">
        <w:t xml:space="preserve"> </w:t>
      </w:r>
      <w:r w:rsidR="002B6855">
        <w:t xml:space="preserve">public transport and </w:t>
      </w:r>
      <w:r w:rsidR="00C35B81">
        <w:t>newly emerging technologies, such as demand-responsive transport, e-bikes</w:t>
      </w:r>
      <w:r w:rsidR="00745446">
        <w:t xml:space="preserve"> and</w:t>
      </w:r>
      <w:r w:rsidR="00C35B81">
        <w:t xml:space="preserve"> </w:t>
      </w:r>
      <w:r w:rsidR="00745446">
        <w:t xml:space="preserve">electric kick-scooters, vehicle sharing, </w:t>
      </w:r>
      <w:r w:rsidR="00C35B81">
        <w:t>self-driving shuttles, and Mobility-as-a-Service</w:t>
      </w:r>
      <w:r>
        <w:t xml:space="preserve"> for</w:t>
      </w:r>
      <w:r w:rsidR="00C35B81">
        <w:t xml:space="preserve"> sustainable mobility in urban peripheries, rural areas and remote regions</w:t>
      </w:r>
    </w:p>
    <w:p w14:paraId="47CCB3A1" w14:textId="1D85F3AC" w:rsidR="0045496F" w:rsidRDefault="0045496F" w:rsidP="00AF47CC">
      <w:pPr>
        <w:pStyle w:val="ListParagraph"/>
        <w:numPr>
          <w:ilvl w:val="0"/>
          <w:numId w:val="5"/>
        </w:numPr>
      </w:pPr>
      <w:r>
        <w:t>Tourism and leisure mobility in urban peripheries, rural areas and remote regions</w:t>
      </w:r>
    </w:p>
    <w:p w14:paraId="7CB97306" w14:textId="2D4AAEBA" w:rsidR="009A59C1" w:rsidRDefault="009A59C1" w:rsidP="009A59C1">
      <w:pPr>
        <w:pStyle w:val="ListParagraph"/>
        <w:numPr>
          <w:ilvl w:val="0"/>
          <w:numId w:val="5"/>
        </w:numPr>
      </w:pPr>
      <w:r>
        <w:lastRenderedPageBreak/>
        <w:t>Resiliency of transport system</w:t>
      </w:r>
      <w:r w:rsidR="008B1471">
        <w:t xml:space="preserve"> in urban peripheries, rural areas and remote regions</w:t>
      </w:r>
      <w:r>
        <w:t xml:space="preserve"> in case of disruptive events such as natural disaster</w:t>
      </w:r>
      <w:r w:rsidR="001D2618">
        <w:t>s</w:t>
      </w:r>
      <w:r>
        <w:t xml:space="preserve"> and </w:t>
      </w:r>
      <w:r w:rsidR="001D2618">
        <w:t>epidemics</w:t>
      </w:r>
      <w:r>
        <w:t xml:space="preserve"> </w:t>
      </w:r>
    </w:p>
    <w:p w14:paraId="368A7246" w14:textId="55577B25" w:rsidR="00CC7A86" w:rsidRDefault="00CC7A86" w:rsidP="00CC7A86">
      <w:pPr>
        <w:pStyle w:val="ListParagraph"/>
        <w:numPr>
          <w:ilvl w:val="0"/>
          <w:numId w:val="5"/>
        </w:numPr>
      </w:pPr>
      <w:r>
        <w:t xml:space="preserve">Impact of e-commerce </w:t>
      </w:r>
      <w:r w:rsidR="000455AC">
        <w:t>on</w:t>
      </w:r>
      <w:r>
        <w:t xml:space="preserve"> mobility</w:t>
      </w:r>
      <w:r w:rsidR="00421197">
        <w:t xml:space="preserve"> </w:t>
      </w:r>
      <w:r>
        <w:t>in urban peripheries, rural areas and remote regions</w:t>
      </w:r>
    </w:p>
    <w:p w14:paraId="5053B343" w14:textId="77777777" w:rsidR="00317751" w:rsidRDefault="00317751" w:rsidP="00317751">
      <w:pPr>
        <w:pStyle w:val="ListParagraph"/>
        <w:numPr>
          <w:ilvl w:val="0"/>
          <w:numId w:val="5"/>
        </w:numPr>
      </w:pPr>
      <w:r>
        <w:t>Use of emerging data and information sources</w:t>
      </w:r>
    </w:p>
    <w:p w14:paraId="5892B671" w14:textId="68EAD1DB" w:rsidR="00AF47CC" w:rsidRDefault="00353021" w:rsidP="00AF47CC">
      <w:pPr>
        <w:pStyle w:val="ListParagraph"/>
        <w:numPr>
          <w:ilvl w:val="0"/>
          <w:numId w:val="5"/>
        </w:numPr>
      </w:pPr>
      <w:r>
        <w:t>Ensuring participatory planning process</w:t>
      </w:r>
    </w:p>
    <w:p w14:paraId="13819BEC" w14:textId="73D10B0D" w:rsidR="00F36A28" w:rsidRDefault="00F36A28" w:rsidP="00F36A28">
      <w:pPr>
        <w:pStyle w:val="ListParagraph"/>
        <w:numPr>
          <w:ilvl w:val="0"/>
          <w:numId w:val="5"/>
        </w:numPr>
      </w:pPr>
      <w:r>
        <w:t xml:space="preserve">Impact of the COVID-19 pandemic </w:t>
      </w:r>
      <w:r w:rsidR="00D80B0E">
        <w:t>o</w:t>
      </w:r>
      <w:r>
        <w:t>n everyday mobility in urban peripheries, rural areas and remote regions</w:t>
      </w:r>
    </w:p>
    <w:p w14:paraId="4B578F2F" w14:textId="718C108E" w:rsidR="002D70C0" w:rsidRDefault="002D70C0" w:rsidP="002D70C0">
      <w:pPr>
        <w:pStyle w:val="Heading1"/>
      </w:pPr>
      <w:r>
        <w:t xml:space="preserve">SIG G2 </w:t>
      </w:r>
      <w:r w:rsidR="00430DC8">
        <w:t xml:space="preserve">Mid-term </w:t>
      </w:r>
      <w:r>
        <w:t>Workshops</w:t>
      </w:r>
    </w:p>
    <w:p w14:paraId="791CE998" w14:textId="222700F9" w:rsidR="002D70C0" w:rsidRDefault="009A59C1" w:rsidP="002D70C0">
      <w:pPr>
        <w:pStyle w:val="ListParagraph"/>
        <w:numPr>
          <w:ilvl w:val="0"/>
          <w:numId w:val="4"/>
        </w:numPr>
        <w:spacing w:after="160" w:line="259" w:lineRule="auto"/>
      </w:pPr>
      <w:r>
        <w:rPr>
          <w:lang w:eastAsia="zh-CN"/>
        </w:rPr>
        <w:t>You</w:t>
      </w:r>
      <w:r w:rsidR="002D70C0">
        <w:rPr>
          <w:rFonts w:hint="eastAsia"/>
          <w:lang w:eastAsia="zh-CN"/>
        </w:rPr>
        <w:t xml:space="preserve"> </w:t>
      </w:r>
      <w:r w:rsidR="002D70C0">
        <w:rPr>
          <w:lang w:eastAsia="zh-CN"/>
        </w:rPr>
        <w:t>will</w:t>
      </w:r>
      <w:r w:rsidR="002D70C0">
        <w:rPr>
          <w:rFonts w:hint="eastAsia"/>
          <w:lang w:eastAsia="zh-CN"/>
        </w:rPr>
        <w:t xml:space="preserve"> present </w:t>
      </w:r>
      <w:r>
        <w:rPr>
          <w:lang w:eastAsia="zh-CN"/>
        </w:rPr>
        <w:t>your research</w:t>
      </w:r>
      <w:r w:rsidR="002D70C0">
        <w:rPr>
          <w:lang w:eastAsia="zh-CN"/>
        </w:rPr>
        <w:t xml:space="preserve"> findings </w:t>
      </w:r>
      <w:r>
        <w:rPr>
          <w:lang w:eastAsia="zh-CN"/>
        </w:rPr>
        <w:t>in the online mid-t</w:t>
      </w:r>
      <w:r w:rsidRPr="006E3213">
        <w:rPr>
          <w:lang w:eastAsia="zh-CN"/>
        </w:rPr>
        <w:t xml:space="preserve">erm event </w:t>
      </w:r>
      <w:r w:rsidR="006E3213" w:rsidRPr="006E3213">
        <w:rPr>
          <w:lang w:eastAsia="zh-CN"/>
        </w:rPr>
        <w:t>o</w:t>
      </w:r>
      <w:r w:rsidR="006E3213">
        <w:rPr>
          <w:lang w:eastAsia="zh-CN"/>
        </w:rPr>
        <w:t>n</w:t>
      </w:r>
      <w:r w:rsidR="00094D1D" w:rsidRPr="006E3213">
        <w:rPr>
          <w:lang w:eastAsia="zh-CN"/>
        </w:rPr>
        <w:t xml:space="preserve"> 27</w:t>
      </w:r>
      <w:r w:rsidR="00094D1D" w:rsidRPr="006E3213">
        <w:rPr>
          <w:vertAlign w:val="superscript"/>
          <w:lang w:eastAsia="zh-CN"/>
        </w:rPr>
        <w:t>th</w:t>
      </w:r>
      <w:r w:rsidR="000E4AB1" w:rsidRPr="006E3213">
        <w:rPr>
          <w:lang w:eastAsia="zh-CN"/>
        </w:rPr>
        <w:t xml:space="preserve">, </w:t>
      </w:r>
      <w:r w:rsidR="00094D1D" w:rsidRPr="006E3213">
        <w:rPr>
          <w:lang w:eastAsia="zh-CN"/>
        </w:rPr>
        <w:t>28</w:t>
      </w:r>
      <w:r w:rsidR="00094D1D" w:rsidRPr="006E3213">
        <w:rPr>
          <w:vertAlign w:val="superscript"/>
          <w:lang w:eastAsia="zh-CN"/>
        </w:rPr>
        <w:t>th</w:t>
      </w:r>
      <w:r w:rsidR="00094D1D" w:rsidRPr="006E3213">
        <w:rPr>
          <w:lang w:eastAsia="zh-CN"/>
        </w:rPr>
        <w:t xml:space="preserve"> </w:t>
      </w:r>
      <w:r w:rsidR="000E4AB1" w:rsidRPr="006E3213">
        <w:rPr>
          <w:lang w:eastAsia="zh-CN"/>
        </w:rPr>
        <w:t>and 29</w:t>
      </w:r>
      <w:r w:rsidR="000E4AB1" w:rsidRPr="006E3213">
        <w:rPr>
          <w:vertAlign w:val="superscript"/>
          <w:lang w:eastAsia="zh-CN"/>
        </w:rPr>
        <w:t>th</w:t>
      </w:r>
      <w:r w:rsidR="000E4AB1" w:rsidRPr="006E3213">
        <w:rPr>
          <w:lang w:eastAsia="zh-CN"/>
        </w:rPr>
        <w:t xml:space="preserve"> </w:t>
      </w:r>
      <w:r w:rsidR="00094D1D" w:rsidRPr="006E3213">
        <w:rPr>
          <w:lang w:eastAsia="zh-CN"/>
        </w:rPr>
        <w:t xml:space="preserve">September (Monday </w:t>
      </w:r>
      <w:r w:rsidR="0023678B" w:rsidRPr="006E3213">
        <w:rPr>
          <w:lang w:eastAsia="zh-CN"/>
        </w:rPr>
        <w:t>to</w:t>
      </w:r>
      <w:r w:rsidR="00094D1D" w:rsidRPr="006E3213">
        <w:rPr>
          <w:lang w:eastAsia="zh-CN"/>
        </w:rPr>
        <w:t xml:space="preserve"> </w:t>
      </w:r>
      <w:r w:rsidR="0023678B" w:rsidRPr="006E3213">
        <w:rPr>
          <w:lang w:eastAsia="zh-CN"/>
        </w:rPr>
        <w:t>Wednesday</w:t>
      </w:r>
      <w:r w:rsidR="00094D1D" w:rsidRPr="006E3213">
        <w:rPr>
          <w:lang w:eastAsia="zh-CN"/>
        </w:rPr>
        <w:t>)</w:t>
      </w:r>
      <w:r w:rsidR="006E3213" w:rsidRPr="006E3213">
        <w:rPr>
          <w:lang w:eastAsia="zh-CN"/>
        </w:rPr>
        <w:t>.</w:t>
      </w:r>
    </w:p>
    <w:p w14:paraId="7B35E7E4" w14:textId="1CFA83B4" w:rsidR="005078B5" w:rsidRDefault="005078B5" w:rsidP="005078B5">
      <w:pPr>
        <w:pStyle w:val="ListParagraph"/>
        <w:numPr>
          <w:ilvl w:val="0"/>
          <w:numId w:val="4"/>
        </w:numPr>
        <w:spacing w:after="160" w:line="259" w:lineRule="auto"/>
      </w:pPr>
      <w:r>
        <w:t>We will host about</w:t>
      </w:r>
      <w:r w:rsidRPr="00752005">
        <w:t xml:space="preserve"> </w:t>
      </w:r>
      <w:r w:rsidR="003D73F7" w:rsidRPr="003D73F7">
        <w:rPr>
          <w:color w:val="984806" w:themeColor="accent6" w:themeShade="80"/>
        </w:rPr>
        <w:t>15 to 18</w:t>
      </w:r>
      <w:r w:rsidR="003D73F7">
        <w:t xml:space="preserve"> </w:t>
      </w:r>
      <w:r w:rsidRPr="00752005">
        <w:t>presentations</w:t>
      </w:r>
      <w:r>
        <w:t xml:space="preserve"> in total</w:t>
      </w:r>
      <w:r w:rsidRPr="00752005">
        <w:t xml:space="preserve"> and </w:t>
      </w:r>
      <w:r>
        <w:t xml:space="preserve">will prepare a </w:t>
      </w:r>
      <w:r w:rsidRPr="00752005">
        <w:t>room for intensive discussion</w:t>
      </w:r>
      <w:r>
        <w:t xml:space="preserve">s among the participants. </w:t>
      </w:r>
    </w:p>
    <w:p w14:paraId="641031AE" w14:textId="6C9383B4" w:rsidR="009A59C1" w:rsidRDefault="009A59C1" w:rsidP="002D70C0">
      <w:pPr>
        <w:pStyle w:val="ListParagraph"/>
        <w:numPr>
          <w:ilvl w:val="0"/>
          <w:numId w:val="4"/>
        </w:numPr>
        <w:spacing w:after="160" w:line="259" w:lineRule="auto"/>
      </w:pPr>
      <w:r>
        <w:t>Due to the COVID-19 pandemic</w:t>
      </w:r>
      <w:r w:rsidR="004E1A8C">
        <w:t xml:space="preserve">, </w:t>
      </w:r>
      <w:r>
        <w:t>different national strategies for cross-border travels,</w:t>
      </w:r>
      <w:r w:rsidR="004E1A8C">
        <w:t xml:space="preserve"> and many uncertainties ahead,</w:t>
      </w:r>
      <w:r>
        <w:t xml:space="preserve"> </w:t>
      </w:r>
      <w:r w:rsidRPr="00CC4BA2">
        <w:rPr>
          <w:b/>
        </w:rPr>
        <w:t xml:space="preserve">the mid-term event will be organized </w:t>
      </w:r>
      <w:r w:rsidR="004E1A8C" w:rsidRPr="00CC4BA2">
        <w:rPr>
          <w:b/>
        </w:rPr>
        <w:t xml:space="preserve">solely </w:t>
      </w:r>
      <w:r w:rsidRPr="00CC4BA2">
        <w:rPr>
          <w:b/>
        </w:rPr>
        <w:t>as an online event.</w:t>
      </w:r>
    </w:p>
    <w:p w14:paraId="1D78BC79" w14:textId="4FB8643B" w:rsidR="00856905" w:rsidRDefault="009A59C1" w:rsidP="00856905">
      <w:pPr>
        <w:pStyle w:val="ListParagraph"/>
        <w:numPr>
          <w:ilvl w:val="0"/>
          <w:numId w:val="4"/>
        </w:numPr>
        <w:spacing w:after="160" w:line="259" w:lineRule="auto"/>
      </w:pPr>
      <w:r>
        <w:t>The online event will be organized in the afternoon in UTC with a duration of 3</w:t>
      </w:r>
      <w:r w:rsidR="006543A5">
        <w:t xml:space="preserve"> to 4</w:t>
      </w:r>
      <w:r>
        <w:t xml:space="preserve"> hours on each day so that participants from different time zones are able to participate.</w:t>
      </w:r>
    </w:p>
    <w:p w14:paraId="286D0E18" w14:textId="49D1413A" w:rsidR="005C1972" w:rsidRDefault="005C1972" w:rsidP="005C1972">
      <w:pPr>
        <w:pStyle w:val="ListParagraph"/>
        <w:numPr>
          <w:ilvl w:val="1"/>
          <w:numId w:val="4"/>
        </w:numPr>
        <w:spacing w:after="160" w:line="259" w:lineRule="auto"/>
      </w:pPr>
      <w:r>
        <w:t>Asia-Pacific Region</w:t>
      </w:r>
      <w:r w:rsidR="00FA7400">
        <w:t>:</w:t>
      </w:r>
      <w:r>
        <w:t xml:space="preserve"> evening</w:t>
      </w:r>
    </w:p>
    <w:p w14:paraId="27DB40AB" w14:textId="78100E38" w:rsidR="005C1972" w:rsidRDefault="005C1972" w:rsidP="005C1972">
      <w:pPr>
        <w:pStyle w:val="ListParagraph"/>
        <w:numPr>
          <w:ilvl w:val="1"/>
          <w:numId w:val="4"/>
        </w:numPr>
        <w:spacing w:after="160" w:line="259" w:lineRule="auto"/>
      </w:pPr>
      <w:r>
        <w:t>Europe</w:t>
      </w:r>
      <w:r w:rsidR="00FA7400">
        <w:t>:</w:t>
      </w:r>
      <w:r>
        <w:t xml:space="preserve"> afternoon</w:t>
      </w:r>
    </w:p>
    <w:p w14:paraId="57109F7F" w14:textId="1AFE80EB" w:rsidR="005C1972" w:rsidRDefault="005C1972" w:rsidP="005C1972">
      <w:pPr>
        <w:pStyle w:val="ListParagraph"/>
        <w:numPr>
          <w:ilvl w:val="1"/>
          <w:numId w:val="4"/>
        </w:numPr>
        <w:spacing w:after="160" w:line="259" w:lineRule="auto"/>
      </w:pPr>
      <w:r>
        <w:t>Americas</w:t>
      </w:r>
      <w:r w:rsidR="00FA7400">
        <w:t>:</w:t>
      </w:r>
      <w:r>
        <w:t xml:space="preserve"> morning</w:t>
      </w:r>
    </w:p>
    <w:p w14:paraId="60539EE0" w14:textId="77777777" w:rsidR="003C60F0" w:rsidRDefault="003C60F0" w:rsidP="003C60F0">
      <w:pPr>
        <w:pStyle w:val="Heading1"/>
      </w:pPr>
      <w:r>
        <w:t>Abstract / full paper submission and inquiries</w:t>
      </w:r>
    </w:p>
    <w:p w14:paraId="0302F3FC" w14:textId="77777777" w:rsidR="003C60F0" w:rsidRDefault="003C60F0" w:rsidP="003C60F0">
      <w:pPr>
        <w:pStyle w:val="ListParagraph"/>
        <w:numPr>
          <w:ilvl w:val="0"/>
          <w:numId w:val="2"/>
        </w:numPr>
        <w:spacing w:after="160" w:line="259" w:lineRule="auto"/>
      </w:pPr>
      <w:r>
        <w:t>Abstracts and full papers must be written in English.</w:t>
      </w:r>
    </w:p>
    <w:p w14:paraId="2356C0A6" w14:textId="77777777" w:rsidR="003C60F0" w:rsidRPr="00E172E3" w:rsidRDefault="003C60F0" w:rsidP="003C60F0">
      <w:pPr>
        <w:pStyle w:val="ListParagraph"/>
        <w:numPr>
          <w:ilvl w:val="0"/>
          <w:numId w:val="2"/>
        </w:numPr>
        <w:spacing w:after="160" w:line="259" w:lineRule="auto"/>
      </w:pPr>
      <w:r>
        <w:t>Length of the abstract is limited to max. 400 words.</w:t>
      </w:r>
    </w:p>
    <w:p w14:paraId="23640CDA" w14:textId="6922D120" w:rsidR="00240540" w:rsidRPr="00212B83" w:rsidRDefault="003C60F0" w:rsidP="00240540">
      <w:pPr>
        <w:pStyle w:val="ListParagraph"/>
        <w:numPr>
          <w:ilvl w:val="0"/>
          <w:numId w:val="2"/>
        </w:numPr>
        <w:spacing w:after="160" w:line="259" w:lineRule="auto"/>
      </w:pPr>
      <w:r>
        <w:t>Length of the full paper is limited to max. 20 pages including tables</w:t>
      </w:r>
      <w:r w:rsidR="002D2DF8">
        <w:t>,</w:t>
      </w:r>
      <w:r>
        <w:t xml:space="preserve"> </w:t>
      </w:r>
      <w:r w:rsidR="008175BE">
        <w:t>figures</w:t>
      </w:r>
      <w:r w:rsidR="00ED4C68">
        <w:t xml:space="preserve">, </w:t>
      </w:r>
      <w:r w:rsidR="0086238C">
        <w:t>bibliography</w:t>
      </w:r>
      <w:r w:rsidR="00FD021A">
        <w:t xml:space="preserve"> and acknowledgements</w:t>
      </w:r>
      <w:r w:rsidR="002D2DF8">
        <w:t xml:space="preserve">. The manuscript text (excluding abstract, bibliography, acknowledgements, etc.) should be </w:t>
      </w:r>
      <w:r w:rsidR="006B3F3C" w:rsidRPr="005F5C2B">
        <w:rPr>
          <w:rStyle w:val="Emphasis"/>
          <w:i w:val="0"/>
          <w:color w:val="E36C0A" w:themeColor="accent6" w:themeShade="BF"/>
        </w:rPr>
        <w:t>4</w:t>
      </w:r>
      <w:r w:rsidR="00FE0E8C" w:rsidRPr="005F5C2B">
        <w:rPr>
          <w:rStyle w:val="Emphasis"/>
          <w:i w:val="0"/>
          <w:color w:val="E36C0A" w:themeColor="accent6" w:themeShade="BF"/>
        </w:rPr>
        <w:t>,</w:t>
      </w:r>
      <w:r w:rsidR="006B3F3C" w:rsidRPr="005F5C2B">
        <w:rPr>
          <w:rStyle w:val="Emphasis"/>
          <w:i w:val="0"/>
          <w:color w:val="E36C0A" w:themeColor="accent6" w:themeShade="BF"/>
        </w:rPr>
        <w:t>000-6</w:t>
      </w:r>
      <w:r w:rsidR="00FE0E8C" w:rsidRPr="005F5C2B">
        <w:rPr>
          <w:rStyle w:val="Emphasis"/>
          <w:i w:val="0"/>
          <w:color w:val="E36C0A" w:themeColor="accent6" w:themeShade="BF"/>
        </w:rPr>
        <w:t>,</w:t>
      </w:r>
      <w:r w:rsidR="006B3F3C" w:rsidRPr="005F5C2B">
        <w:rPr>
          <w:rStyle w:val="Emphasis"/>
          <w:i w:val="0"/>
          <w:color w:val="E36C0A" w:themeColor="accent6" w:themeShade="BF"/>
        </w:rPr>
        <w:t>000 words long, excluding references</w:t>
      </w:r>
      <w:r w:rsidR="00A40676" w:rsidRPr="005F5C2B">
        <w:rPr>
          <w:rStyle w:val="Emphasis"/>
          <w:i w:val="0"/>
          <w:color w:val="E36C0A" w:themeColor="accent6" w:themeShade="BF"/>
        </w:rPr>
        <w:t>, in line with the ETRR guideline (see below)</w:t>
      </w:r>
      <w:r w:rsidR="006B3F3C" w:rsidRPr="005F5C2B">
        <w:rPr>
          <w:rStyle w:val="Emphasis"/>
          <w:i w:val="0"/>
          <w:color w:val="E36C0A" w:themeColor="accent6" w:themeShade="BF"/>
        </w:rPr>
        <w:t>.</w:t>
      </w:r>
    </w:p>
    <w:p w14:paraId="1754BEC4" w14:textId="1052E397" w:rsidR="003C60F0" w:rsidRPr="00022C60" w:rsidRDefault="003C60F0" w:rsidP="003C60F0">
      <w:pPr>
        <w:pStyle w:val="ListParagraph"/>
        <w:numPr>
          <w:ilvl w:val="0"/>
          <w:numId w:val="2"/>
        </w:numPr>
        <w:spacing w:after="160" w:line="259" w:lineRule="auto"/>
      </w:pPr>
      <w:r w:rsidRPr="00F419FB">
        <w:t>Abst</w:t>
      </w:r>
      <w:r>
        <w:t>racts and f</w:t>
      </w:r>
      <w:r w:rsidRPr="00F419FB">
        <w:t>ull papers</w:t>
      </w:r>
      <w:r w:rsidR="0086238C">
        <w:t xml:space="preserve"> </w:t>
      </w:r>
      <w:r>
        <w:t xml:space="preserve">must </w:t>
      </w:r>
      <w:r w:rsidRPr="00F419FB">
        <w:t xml:space="preserve">be submitted </w:t>
      </w:r>
      <w:r>
        <w:t xml:space="preserve">as </w:t>
      </w:r>
      <w:r w:rsidRPr="006E7F90">
        <w:rPr>
          <w:b/>
        </w:rPr>
        <w:t>e-</w:t>
      </w:r>
      <w:r w:rsidRPr="00E8275C">
        <w:rPr>
          <w:b/>
        </w:rPr>
        <w:t>mail file attachments</w:t>
      </w:r>
      <w:r>
        <w:t xml:space="preserve"> (MS Word, OpenOffice or PDF) </w:t>
      </w:r>
      <w:r w:rsidRPr="006E7F90">
        <w:t xml:space="preserve">to </w:t>
      </w:r>
      <w:r>
        <w:t xml:space="preserve">Dr. </w:t>
      </w:r>
      <w:r w:rsidRPr="00F419FB">
        <w:rPr>
          <w:b/>
        </w:rPr>
        <w:t>Takeru Shibayama</w:t>
      </w:r>
      <w:r w:rsidRPr="00F419FB">
        <w:t xml:space="preserve"> (</w:t>
      </w:r>
      <w:hyperlink r:id="rId7" w:history="1">
        <w:r w:rsidRPr="00F419FB">
          <w:rPr>
            <w:rStyle w:val="Hyperlink"/>
          </w:rPr>
          <w:t>takeru.shibayama@tuwien.ac.at</w:t>
        </w:r>
      </w:hyperlink>
      <w:r w:rsidRPr="00F419FB">
        <w:t>, +43-1-58801-23114, Vienna</w:t>
      </w:r>
      <w:r>
        <w:t xml:space="preserve"> University of Technology</w:t>
      </w:r>
      <w:r w:rsidRPr="00F419FB">
        <w:t>, Austria)</w:t>
      </w:r>
      <w:r>
        <w:t xml:space="preserve">. </w:t>
      </w:r>
      <w:r w:rsidR="005E19F5">
        <w:t xml:space="preserve"> </w:t>
      </w:r>
      <w:r w:rsidR="005E19F5" w:rsidRPr="005E19F5">
        <w:rPr>
          <w:b/>
        </w:rPr>
        <w:t>Please contact him for any inquiry</w:t>
      </w:r>
      <w:r w:rsidR="005E19F5">
        <w:t>.</w:t>
      </w:r>
    </w:p>
    <w:p w14:paraId="2927111D" w14:textId="775C2B17" w:rsidR="003C60F0" w:rsidRPr="00C23364" w:rsidRDefault="003C60F0" w:rsidP="003C60F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When submitting, </w:t>
      </w:r>
      <w:r w:rsidRPr="00514A13">
        <w:rPr>
          <w:b/>
          <w:u w:val="single"/>
        </w:rPr>
        <w:t xml:space="preserve">please insert “WCTR SIG G2 Abstract Submission” </w:t>
      </w:r>
      <w:r w:rsidR="00514A13">
        <w:rPr>
          <w:b/>
          <w:u w:val="single"/>
        </w:rPr>
        <w:t xml:space="preserve">or </w:t>
      </w:r>
      <w:r w:rsidR="00514A13" w:rsidRPr="00514A13">
        <w:rPr>
          <w:b/>
          <w:u w:val="single"/>
        </w:rPr>
        <w:t xml:space="preserve">“WCTR SIG G2 </w:t>
      </w:r>
      <w:r w:rsidR="00514A13">
        <w:rPr>
          <w:b/>
          <w:u w:val="single"/>
        </w:rPr>
        <w:t>Full Paper</w:t>
      </w:r>
      <w:r w:rsidR="00514A13" w:rsidRPr="00514A13">
        <w:rPr>
          <w:b/>
          <w:u w:val="single"/>
        </w:rPr>
        <w:t xml:space="preserve"> Submission” </w:t>
      </w:r>
      <w:r w:rsidRPr="00514A13">
        <w:rPr>
          <w:b/>
          <w:u w:val="single"/>
        </w:rPr>
        <w:t>to the e-mail subject</w:t>
      </w:r>
      <w:r>
        <w:t xml:space="preserve"> and indicate your affiliate and contact information both in the e-mail text and </w:t>
      </w:r>
      <w:r w:rsidR="009759EC">
        <w:t xml:space="preserve">in your </w:t>
      </w:r>
      <w:r>
        <w:t>abstract/paper.</w:t>
      </w:r>
    </w:p>
    <w:p w14:paraId="0B6173F3" w14:textId="590D724B" w:rsidR="002D70C0" w:rsidRDefault="002D70C0" w:rsidP="002D70C0">
      <w:pPr>
        <w:pStyle w:val="Heading1"/>
      </w:pPr>
      <w:r>
        <w:t>Output</w:t>
      </w:r>
      <w:r w:rsidR="00C67503">
        <w:t>s</w:t>
      </w:r>
      <w:r>
        <w:t xml:space="preserve"> from the workshops</w:t>
      </w:r>
    </w:p>
    <w:p w14:paraId="34A9F2C4" w14:textId="32FA62ED" w:rsidR="002D70C0" w:rsidRDefault="002D70C0" w:rsidP="002D70C0">
      <w:pPr>
        <w:pStyle w:val="ListParagraph"/>
        <w:numPr>
          <w:ilvl w:val="0"/>
          <w:numId w:val="3"/>
        </w:numPr>
        <w:spacing w:after="160" w:line="259" w:lineRule="auto"/>
      </w:pPr>
      <w:r>
        <w:t>PowerPoint presentations</w:t>
      </w:r>
      <w:r w:rsidR="00A2459C">
        <w:t xml:space="preserve"> </w:t>
      </w:r>
      <w:r>
        <w:t>(in English) about the research papers during the workshop</w:t>
      </w:r>
    </w:p>
    <w:p w14:paraId="007FB7EA" w14:textId="0B50AA27" w:rsidR="00571915" w:rsidRPr="005F5C2B" w:rsidRDefault="001A4255" w:rsidP="001A4255">
      <w:pPr>
        <w:pStyle w:val="ListParagraph"/>
        <w:numPr>
          <w:ilvl w:val="0"/>
          <w:numId w:val="3"/>
        </w:numPr>
        <w:spacing w:after="160" w:line="259" w:lineRule="auto"/>
        <w:rPr>
          <w:rStyle w:val="Emphasis"/>
          <w:i w:val="0"/>
          <w:color w:val="00B050"/>
        </w:rPr>
      </w:pPr>
      <w:r w:rsidRPr="005F5C2B">
        <w:rPr>
          <w:rStyle w:val="Emphasis"/>
          <w:i w:val="0"/>
          <w:color w:val="00B050"/>
        </w:rPr>
        <w:t xml:space="preserve">[Update 3rd </w:t>
      </w:r>
      <w:r w:rsidR="00D97AC7" w:rsidRPr="005F5C2B">
        <w:rPr>
          <w:rStyle w:val="Emphasis"/>
          <w:i w:val="0"/>
          <w:color w:val="00B050"/>
        </w:rPr>
        <w:t>&amp; 12th May 2021</w:t>
      </w:r>
      <w:r w:rsidRPr="005F5C2B">
        <w:rPr>
          <w:rStyle w:val="Emphasis"/>
          <w:i w:val="0"/>
          <w:color w:val="00B050"/>
        </w:rPr>
        <w:t xml:space="preserve">]: </w:t>
      </w:r>
      <w:r w:rsidR="00D97AC7" w:rsidRPr="005F5C2B">
        <w:rPr>
          <w:rStyle w:val="Emphasis"/>
          <w:i w:val="0"/>
          <w:color w:val="00B050"/>
        </w:rPr>
        <w:t>jointly with</w:t>
      </w:r>
      <w:r w:rsidRPr="005F5C2B">
        <w:rPr>
          <w:rStyle w:val="Emphasis"/>
          <w:i w:val="0"/>
          <w:color w:val="00B050"/>
        </w:rPr>
        <w:t xml:space="preserve"> </w:t>
      </w:r>
      <w:hyperlink r:id="rId8" w:history="1">
        <w:r w:rsidRPr="005F5C2B">
          <w:rPr>
            <w:rStyle w:val="Emphasis"/>
            <w:i w:val="0"/>
            <w:color w:val="00B050"/>
          </w:rPr>
          <w:t>ETRR (European Transport Research Review)</w:t>
        </w:r>
      </w:hyperlink>
      <w:r w:rsidR="00D97AC7" w:rsidRPr="005F5C2B">
        <w:rPr>
          <w:rStyle w:val="Emphasis"/>
          <w:i w:val="0"/>
          <w:color w:val="00B050"/>
        </w:rPr>
        <w:t xml:space="preserve">, we will </w:t>
      </w:r>
      <w:r w:rsidRPr="005F5C2B">
        <w:rPr>
          <w:rStyle w:val="Emphasis"/>
          <w:i w:val="0"/>
          <w:color w:val="00B050"/>
        </w:rPr>
        <w:t>organize a Topical Collection (Special Issue)</w:t>
      </w:r>
      <w:r w:rsidR="00571915" w:rsidRPr="005F5C2B">
        <w:rPr>
          <w:rStyle w:val="Emphasis"/>
          <w:i w:val="0"/>
          <w:color w:val="00B050"/>
        </w:rPr>
        <w:t xml:space="preserve"> </w:t>
      </w:r>
      <w:r w:rsidR="00360BF2" w:rsidRPr="005F5C2B">
        <w:rPr>
          <w:rStyle w:val="Emphasis"/>
          <w:i w:val="0"/>
          <w:color w:val="00B050"/>
        </w:rPr>
        <w:t>in association to this Mid-Term Event</w:t>
      </w:r>
      <w:r w:rsidRPr="005F5C2B">
        <w:rPr>
          <w:rStyle w:val="Emphasis"/>
          <w:i w:val="0"/>
          <w:color w:val="00B050"/>
        </w:rPr>
        <w:t xml:space="preserve">. </w:t>
      </w:r>
    </w:p>
    <w:p w14:paraId="7B9CE317" w14:textId="4EF80904" w:rsidR="001A4255" w:rsidRPr="005F5C2B" w:rsidRDefault="008A3394" w:rsidP="00571915">
      <w:pPr>
        <w:pStyle w:val="ListParagraph"/>
        <w:numPr>
          <w:ilvl w:val="1"/>
          <w:numId w:val="3"/>
        </w:numPr>
        <w:spacing w:after="160" w:line="259" w:lineRule="auto"/>
        <w:rPr>
          <w:rStyle w:val="Emphasis"/>
          <w:i w:val="0"/>
          <w:color w:val="984806" w:themeColor="accent6" w:themeShade="80"/>
        </w:rPr>
      </w:pPr>
      <w:r w:rsidRPr="005F5C2B">
        <w:rPr>
          <w:rStyle w:val="Emphasis"/>
          <w:i w:val="0"/>
          <w:color w:val="984806" w:themeColor="accent6" w:themeShade="80"/>
        </w:rPr>
        <w:lastRenderedPageBreak/>
        <w:t>Submitted</w:t>
      </w:r>
      <w:r w:rsidR="00766633" w:rsidRPr="005F5C2B">
        <w:rPr>
          <w:rStyle w:val="Emphasis"/>
          <w:i w:val="0"/>
          <w:color w:val="984806" w:themeColor="accent6" w:themeShade="80"/>
        </w:rPr>
        <w:t xml:space="preserve"> papers</w:t>
      </w:r>
      <w:r w:rsidRPr="005F5C2B">
        <w:rPr>
          <w:rStyle w:val="Emphasis"/>
          <w:i w:val="0"/>
          <w:color w:val="984806" w:themeColor="accent6" w:themeShade="80"/>
        </w:rPr>
        <w:t xml:space="preserve"> will be reviewed on behalf of WCTRS SIG G2. </w:t>
      </w:r>
      <w:r w:rsidR="00D97AC7" w:rsidRPr="005F5C2B">
        <w:rPr>
          <w:rStyle w:val="Emphasis"/>
          <w:i w:val="0"/>
          <w:color w:val="984806" w:themeColor="accent6" w:themeShade="80"/>
        </w:rPr>
        <w:t>High</w:t>
      </w:r>
      <w:r w:rsidR="001A4255" w:rsidRPr="005F5C2B">
        <w:rPr>
          <w:rStyle w:val="Emphasis"/>
          <w:i w:val="0"/>
          <w:color w:val="984806" w:themeColor="accent6" w:themeShade="80"/>
        </w:rPr>
        <w:t>-quality papers</w:t>
      </w:r>
      <w:r w:rsidR="00332A19" w:rsidRPr="005F5C2B">
        <w:rPr>
          <w:rStyle w:val="Emphasis"/>
          <w:i w:val="0"/>
          <w:color w:val="984806" w:themeColor="accent6" w:themeShade="80"/>
        </w:rPr>
        <w:t xml:space="preserve"> presented in the workshop</w:t>
      </w:r>
      <w:r w:rsidR="001A4255" w:rsidRPr="005F5C2B">
        <w:rPr>
          <w:rStyle w:val="Emphasis"/>
          <w:i w:val="0"/>
          <w:color w:val="984806" w:themeColor="accent6" w:themeShade="80"/>
        </w:rPr>
        <w:t xml:space="preserve"> will be invited to submit to this </w:t>
      </w:r>
      <w:r w:rsidR="002649DC" w:rsidRPr="005F5C2B">
        <w:rPr>
          <w:rStyle w:val="Emphasis"/>
          <w:i w:val="0"/>
          <w:color w:val="984806" w:themeColor="accent6" w:themeShade="80"/>
        </w:rPr>
        <w:t>Topical Collection</w:t>
      </w:r>
      <w:r w:rsidR="00032E9E" w:rsidRPr="005F5C2B">
        <w:rPr>
          <w:rStyle w:val="Emphasis"/>
          <w:i w:val="0"/>
          <w:color w:val="984806" w:themeColor="accent6" w:themeShade="80"/>
        </w:rPr>
        <w:t xml:space="preserve"> after the workshop</w:t>
      </w:r>
      <w:r w:rsidR="001A4255" w:rsidRPr="005F5C2B">
        <w:rPr>
          <w:rStyle w:val="Emphasis"/>
          <w:i w:val="0"/>
          <w:color w:val="984806" w:themeColor="accent6" w:themeShade="80"/>
        </w:rPr>
        <w:t>.</w:t>
      </w:r>
      <w:r w:rsidR="00032E9E" w:rsidRPr="005F5C2B">
        <w:rPr>
          <w:rStyle w:val="Emphasis"/>
          <w:i w:val="0"/>
          <w:color w:val="984806" w:themeColor="accent6" w:themeShade="80"/>
        </w:rPr>
        <w:t xml:space="preserve"> </w:t>
      </w:r>
      <w:r w:rsidR="001A4255" w:rsidRPr="005F5C2B">
        <w:rPr>
          <w:rStyle w:val="Emphasis"/>
          <w:i w:val="0"/>
          <w:color w:val="984806" w:themeColor="accent6" w:themeShade="80"/>
        </w:rPr>
        <w:t xml:space="preserve">Making use of </w:t>
      </w:r>
      <w:r w:rsidRPr="005F5C2B">
        <w:rPr>
          <w:rStyle w:val="Emphasis"/>
          <w:i w:val="0"/>
          <w:color w:val="984806" w:themeColor="accent6" w:themeShade="80"/>
        </w:rPr>
        <w:t xml:space="preserve">review feedback and </w:t>
      </w:r>
      <w:r w:rsidR="001A4255" w:rsidRPr="005F5C2B">
        <w:rPr>
          <w:rStyle w:val="Emphasis"/>
          <w:i w:val="0"/>
          <w:color w:val="984806" w:themeColor="accent6" w:themeShade="80"/>
        </w:rPr>
        <w:t xml:space="preserve">discussions in the mid-term event, </w:t>
      </w:r>
      <w:r w:rsidR="00291C50" w:rsidRPr="005F5C2B">
        <w:rPr>
          <w:rStyle w:val="Emphasis"/>
          <w:b/>
          <w:i w:val="0"/>
          <w:color w:val="984806" w:themeColor="accent6" w:themeShade="80"/>
        </w:rPr>
        <w:t xml:space="preserve">invited </w:t>
      </w:r>
      <w:r w:rsidR="001A4255" w:rsidRPr="005F5C2B">
        <w:rPr>
          <w:rStyle w:val="Emphasis"/>
          <w:b/>
          <w:i w:val="0"/>
          <w:color w:val="984806" w:themeColor="accent6" w:themeShade="80"/>
        </w:rPr>
        <w:t xml:space="preserve">authors will be encouraged to further develop </w:t>
      </w:r>
      <w:r w:rsidR="005E19F5" w:rsidRPr="005F5C2B">
        <w:rPr>
          <w:rStyle w:val="Emphasis"/>
          <w:b/>
          <w:i w:val="0"/>
          <w:color w:val="984806" w:themeColor="accent6" w:themeShade="80"/>
        </w:rPr>
        <w:t xml:space="preserve">their </w:t>
      </w:r>
      <w:r w:rsidR="001A4255" w:rsidRPr="005F5C2B">
        <w:rPr>
          <w:rStyle w:val="Emphasis"/>
          <w:b/>
          <w:i w:val="0"/>
          <w:color w:val="984806" w:themeColor="accent6" w:themeShade="80"/>
        </w:rPr>
        <w:t>paper</w:t>
      </w:r>
      <w:r w:rsidR="00291C50" w:rsidRPr="005F5C2B">
        <w:rPr>
          <w:rStyle w:val="Emphasis"/>
          <w:b/>
          <w:i w:val="0"/>
          <w:color w:val="984806" w:themeColor="accent6" w:themeShade="80"/>
        </w:rPr>
        <w:t>s</w:t>
      </w:r>
      <w:r w:rsidR="001A4255" w:rsidRPr="005F5C2B">
        <w:rPr>
          <w:rStyle w:val="Emphasis"/>
          <w:b/>
          <w:i w:val="0"/>
          <w:color w:val="984806" w:themeColor="accent6" w:themeShade="80"/>
        </w:rPr>
        <w:t xml:space="preserve"> before submitting to ETRR Topical Collection</w:t>
      </w:r>
      <w:r w:rsidR="001A4255" w:rsidRPr="005F5C2B">
        <w:rPr>
          <w:rStyle w:val="Emphasis"/>
          <w:i w:val="0"/>
          <w:color w:val="984806" w:themeColor="accent6" w:themeShade="80"/>
        </w:rPr>
        <w:t>.</w:t>
      </w:r>
    </w:p>
    <w:p w14:paraId="499AF54E" w14:textId="6B82CA64" w:rsidR="002977B8" w:rsidRPr="005F5C2B" w:rsidRDefault="00766633" w:rsidP="00571915">
      <w:pPr>
        <w:pStyle w:val="ListParagraph"/>
        <w:numPr>
          <w:ilvl w:val="1"/>
          <w:numId w:val="3"/>
        </w:numPr>
        <w:spacing w:after="160" w:line="259" w:lineRule="auto"/>
        <w:rPr>
          <w:rStyle w:val="Emphasis"/>
          <w:i w:val="0"/>
          <w:color w:val="984806" w:themeColor="accent6" w:themeShade="80"/>
        </w:rPr>
      </w:pPr>
      <w:r w:rsidRPr="005F5C2B">
        <w:rPr>
          <w:rStyle w:val="Emphasis"/>
          <w:i w:val="0"/>
          <w:color w:val="984806" w:themeColor="accent6" w:themeShade="80"/>
        </w:rPr>
        <w:t>S</w:t>
      </w:r>
      <w:r w:rsidR="002977B8" w:rsidRPr="005F5C2B">
        <w:rPr>
          <w:rStyle w:val="Emphasis"/>
          <w:i w:val="0"/>
          <w:color w:val="984806" w:themeColor="accent6" w:themeShade="80"/>
        </w:rPr>
        <w:t>ubmitt</w:t>
      </w:r>
      <w:r w:rsidRPr="005F5C2B">
        <w:rPr>
          <w:rStyle w:val="Emphasis"/>
          <w:i w:val="0"/>
          <w:color w:val="984806" w:themeColor="accent6" w:themeShade="80"/>
        </w:rPr>
        <w:t>ed</w:t>
      </w:r>
      <w:r w:rsidR="002977B8" w:rsidRPr="005F5C2B">
        <w:rPr>
          <w:rStyle w:val="Emphasis"/>
          <w:i w:val="0"/>
          <w:color w:val="984806" w:themeColor="accent6" w:themeShade="80"/>
        </w:rPr>
        <w:t xml:space="preserve"> </w:t>
      </w:r>
      <w:r w:rsidRPr="005F5C2B">
        <w:rPr>
          <w:rStyle w:val="Emphasis"/>
          <w:i w:val="0"/>
          <w:color w:val="984806" w:themeColor="accent6" w:themeShade="80"/>
        </w:rPr>
        <w:t>papers will go through</w:t>
      </w:r>
      <w:r w:rsidR="002977B8" w:rsidRPr="005F5C2B">
        <w:rPr>
          <w:rStyle w:val="Emphasis"/>
          <w:i w:val="0"/>
          <w:color w:val="984806" w:themeColor="accent6" w:themeShade="80"/>
        </w:rPr>
        <w:t xml:space="preserve"> </w:t>
      </w:r>
      <w:r w:rsidRPr="005F5C2B">
        <w:rPr>
          <w:rStyle w:val="Emphasis"/>
          <w:i w:val="0"/>
          <w:color w:val="984806" w:themeColor="accent6" w:themeShade="80"/>
        </w:rPr>
        <w:t>the ETRR standard review process.</w:t>
      </w:r>
      <w:r w:rsidR="00FE0E8C" w:rsidRPr="005F5C2B">
        <w:rPr>
          <w:rStyle w:val="Emphasis"/>
          <w:i w:val="0"/>
          <w:color w:val="984806" w:themeColor="accent6" w:themeShade="80"/>
        </w:rPr>
        <w:t xml:space="preserve"> Please note that the invitation will not </w:t>
      </w:r>
      <w:r w:rsidR="00DC4B00" w:rsidRPr="005F5C2B">
        <w:rPr>
          <w:rStyle w:val="Emphasis"/>
          <w:i w:val="0"/>
          <w:color w:val="984806" w:themeColor="accent6" w:themeShade="80"/>
        </w:rPr>
        <w:t xml:space="preserve">automatically </w:t>
      </w:r>
      <w:r w:rsidR="00FE0E8C" w:rsidRPr="005F5C2B">
        <w:rPr>
          <w:rStyle w:val="Emphasis"/>
          <w:i w:val="0"/>
          <w:color w:val="984806" w:themeColor="accent6" w:themeShade="80"/>
        </w:rPr>
        <w:t xml:space="preserve">guarantee the publication in </w:t>
      </w:r>
      <w:r w:rsidR="005E19F5" w:rsidRPr="005F5C2B">
        <w:rPr>
          <w:rStyle w:val="Emphasis"/>
          <w:i w:val="0"/>
          <w:color w:val="984806" w:themeColor="accent6" w:themeShade="80"/>
        </w:rPr>
        <w:t>ETRR</w:t>
      </w:r>
      <w:r w:rsidR="00FE0E8C" w:rsidRPr="005F5C2B">
        <w:rPr>
          <w:rStyle w:val="Emphasis"/>
          <w:i w:val="0"/>
          <w:color w:val="984806" w:themeColor="accent6" w:themeShade="80"/>
        </w:rPr>
        <w:t>.</w:t>
      </w:r>
    </w:p>
    <w:p w14:paraId="568E631A" w14:textId="58BEC1FA" w:rsidR="00BA4C5C" w:rsidRPr="005F5C2B" w:rsidRDefault="00BA4C5C" w:rsidP="004A0771">
      <w:pPr>
        <w:pStyle w:val="ListParagraph"/>
        <w:numPr>
          <w:ilvl w:val="0"/>
          <w:numId w:val="3"/>
        </w:numPr>
        <w:spacing w:after="160" w:line="259" w:lineRule="auto"/>
        <w:rPr>
          <w:rStyle w:val="Emphasis"/>
          <w:i w:val="0"/>
        </w:rPr>
      </w:pPr>
      <w:r w:rsidRPr="005F5C2B">
        <w:rPr>
          <w:rStyle w:val="Emphasis"/>
          <w:i w:val="0"/>
          <w:color w:val="984806" w:themeColor="accent6" w:themeShade="80"/>
        </w:rPr>
        <w:t xml:space="preserve">[Update 3rd </w:t>
      </w:r>
      <w:r w:rsidR="004A0771" w:rsidRPr="005F5C2B">
        <w:rPr>
          <w:rStyle w:val="Emphasis"/>
          <w:i w:val="0"/>
          <w:color w:val="984806" w:themeColor="accent6" w:themeShade="80"/>
        </w:rPr>
        <w:t>&amp; 12th May 2021</w:t>
      </w:r>
      <w:r w:rsidRPr="005F5C2B">
        <w:rPr>
          <w:rStyle w:val="Emphasis"/>
          <w:i w:val="0"/>
          <w:color w:val="984806" w:themeColor="accent6" w:themeShade="80"/>
        </w:rPr>
        <w:t xml:space="preserve">] </w:t>
      </w:r>
      <w:r w:rsidR="00FF6225" w:rsidRPr="005F5C2B">
        <w:rPr>
          <w:rStyle w:val="Emphasis"/>
          <w:i w:val="0"/>
          <w:color w:val="984806" w:themeColor="accent6" w:themeShade="80"/>
        </w:rPr>
        <w:t>In a very unlikely case that</w:t>
      </w:r>
      <w:r w:rsidRPr="005F5C2B">
        <w:rPr>
          <w:rStyle w:val="Emphasis"/>
          <w:i w:val="0"/>
          <w:color w:val="984806" w:themeColor="accent6" w:themeShade="80"/>
        </w:rPr>
        <w:t xml:space="preserve"> </w:t>
      </w:r>
      <w:r w:rsidR="002F6D5E" w:rsidRPr="005F5C2B">
        <w:rPr>
          <w:rStyle w:val="Emphasis"/>
          <w:i w:val="0"/>
          <w:color w:val="984806" w:themeColor="accent6" w:themeShade="80"/>
        </w:rPr>
        <w:t>the</w:t>
      </w:r>
      <w:r w:rsidR="007F353F" w:rsidRPr="005F5C2B">
        <w:rPr>
          <w:rStyle w:val="Emphasis"/>
          <w:i w:val="0"/>
          <w:color w:val="984806" w:themeColor="accent6" w:themeShade="80"/>
        </w:rPr>
        <w:t xml:space="preserve"> ETRR topical collection</w:t>
      </w:r>
      <w:r w:rsidR="002F6D5E" w:rsidRPr="005F5C2B">
        <w:rPr>
          <w:rStyle w:val="Emphasis"/>
          <w:i w:val="0"/>
          <w:color w:val="984806" w:themeColor="accent6" w:themeShade="80"/>
        </w:rPr>
        <w:t xml:space="preserve"> cannot be brought to realization (e.g. when we do not have an enough number of high-quality papers required to organize it)</w:t>
      </w:r>
      <w:r w:rsidR="007F353F" w:rsidRPr="005F5C2B">
        <w:rPr>
          <w:rStyle w:val="Emphasis"/>
          <w:i w:val="0"/>
          <w:color w:val="984806" w:themeColor="accent6" w:themeShade="80"/>
        </w:rPr>
        <w:t xml:space="preserve">, the </w:t>
      </w:r>
      <w:r w:rsidR="00605318" w:rsidRPr="005F5C2B">
        <w:rPr>
          <w:rStyle w:val="Emphasis"/>
          <w:i w:val="0"/>
          <w:color w:val="984806" w:themeColor="accent6" w:themeShade="80"/>
        </w:rPr>
        <w:t>w</w:t>
      </w:r>
      <w:r w:rsidR="007F353F" w:rsidRPr="005F5C2B">
        <w:rPr>
          <w:rStyle w:val="Emphasis"/>
          <w:i w:val="0"/>
          <w:color w:val="984806" w:themeColor="accent6" w:themeShade="80"/>
        </w:rPr>
        <w:t xml:space="preserve">orkshop output </w:t>
      </w:r>
      <w:r w:rsidRPr="005F5C2B">
        <w:rPr>
          <w:rStyle w:val="Emphasis"/>
          <w:i w:val="0"/>
          <w:color w:val="984806" w:themeColor="accent6" w:themeShade="80"/>
        </w:rPr>
        <w:t>will be published online as proceedings and published in the institutional publication series of Vienna University of Technology</w:t>
      </w:r>
      <w:r w:rsidR="00291C50" w:rsidRPr="005F5C2B">
        <w:rPr>
          <w:rStyle w:val="Emphasis"/>
          <w:i w:val="0"/>
          <w:color w:val="984806" w:themeColor="accent6" w:themeShade="80"/>
        </w:rPr>
        <w:t xml:space="preserve"> as an open-access publication</w:t>
      </w:r>
      <w:r w:rsidRPr="005F5C2B">
        <w:rPr>
          <w:rStyle w:val="Emphasis"/>
          <w:i w:val="0"/>
          <w:color w:val="984806" w:themeColor="accent6" w:themeShade="80"/>
        </w:rPr>
        <w:t xml:space="preserve">. </w:t>
      </w:r>
    </w:p>
    <w:p w14:paraId="10EE187A" w14:textId="59A719D6" w:rsidR="0054767F" w:rsidRPr="00BA4C5C" w:rsidRDefault="00A40676" w:rsidP="00BA4C5C">
      <w:pPr>
        <w:pStyle w:val="ListParagraph"/>
        <w:numPr>
          <w:ilvl w:val="1"/>
          <w:numId w:val="3"/>
        </w:numPr>
        <w:spacing w:after="160" w:line="259" w:lineRule="auto"/>
      </w:pPr>
      <w:r>
        <w:rPr>
          <w:color w:val="000000" w:themeColor="text1"/>
        </w:rPr>
        <w:t>M</w:t>
      </w:r>
      <w:r w:rsidR="00966AA6" w:rsidRPr="00BA4C5C">
        <w:t xml:space="preserve">aking use of discussions in the mid-term event, </w:t>
      </w:r>
      <w:r w:rsidR="00966AA6" w:rsidRPr="007C1BBE">
        <w:t>t</w:t>
      </w:r>
      <w:r w:rsidR="00F71119" w:rsidRPr="007C1BBE">
        <w:t xml:space="preserve">he authors </w:t>
      </w:r>
      <w:r w:rsidR="00C67503" w:rsidRPr="007C1BBE">
        <w:t>will be</w:t>
      </w:r>
      <w:r w:rsidR="00F71119" w:rsidRPr="007C1BBE">
        <w:t xml:space="preserve"> encourag</w:t>
      </w:r>
      <w:r w:rsidR="00C67503" w:rsidRPr="007C1BBE">
        <w:t xml:space="preserve">ed </w:t>
      </w:r>
      <w:r w:rsidR="00F71119" w:rsidRPr="007C1BBE">
        <w:t xml:space="preserve">to </w:t>
      </w:r>
      <w:r w:rsidR="00C67503" w:rsidRPr="007C1BBE">
        <w:t xml:space="preserve">further develop </w:t>
      </w:r>
      <w:r w:rsidR="008E4088" w:rsidRPr="007C1BBE">
        <w:t xml:space="preserve">the </w:t>
      </w:r>
      <w:r w:rsidR="00DB65AA" w:rsidRPr="007C1BBE">
        <w:t>full</w:t>
      </w:r>
      <w:r w:rsidR="008E4088" w:rsidRPr="007C1BBE">
        <w:t xml:space="preserve"> paper for the WCTR 16</w:t>
      </w:r>
      <w:r w:rsidR="008E4088" w:rsidRPr="00BA4C5C">
        <w:t xml:space="preserve">, which is </w:t>
      </w:r>
      <w:r w:rsidR="00134547" w:rsidRPr="00BA4C5C">
        <w:t xml:space="preserve">currently </w:t>
      </w:r>
      <w:r w:rsidR="008E4088" w:rsidRPr="00BA4C5C">
        <w:t>planned in July 2022 in Montreal, Canada</w:t>
      </w:r>
      <w:r w:rsidR="00134547" w:rsidRPr="00BA4C5C">
        <w:t xml:space="preserve">. </w:t>
      </w:r>
      <w:r w:rsidR="0088166C" w:rsidRPr="00BA4C5C">
        <w:t xml:space="preserve">SIG G2 will make a specific call for papers for the same topic in the WCTR16. </w:t>
      </w:r>
      <w:r w:rsidR="0054767F" w:rsidRPr="00BA4C5C">
        <w:t xml:space="preserve">The submission date of the WCTR16 full paper is expected to be set around November 2021 in the current plan, but this may </w:t>
      </w:r>
      <w:r w:rsidR="00710778" w:rsidRPr="00BA4C5C">
        <w:t>be put off</w:t>
      </w:r>
      <w:r w:rsidR="0054767F" w:rsidRPr="00BA4C5C">
        <w:t xml:space="preserve"> </w:t>
      </w:r>
      <w:r w:rsidR="00C57AE7" w:rsidRPr="00BA4C5C">
        <w:t>in line with adjusted</w:t>
      </w:r>
      <w:r w:rsidR="0054767F" w:rsidRPr="00BA4C5C">
        <w:t xml:space="preserve"> conference plans (e.g. possible conference postponement). </w:t>
      </w:r>
      <w:r w:rsidR="0054767F" w:rsidRPr="005F5C2B">
        <w:rPr>
          <w:rStyle w:val="Strong"/>
        </w:rPr>
        <w:t>If this option is chosen, the workshop abstract will be included</w:t>
      </w:r>
      <w:r w:rsidR="00BE4843" w:rsidRPr="005F5C2B">
        <w:rPr>
          <w:rStyle w:val="Strong"/>
        </w:rPr>
        <w:t xml:space="preserve"> instead</w:t>
      </w:r>
      <w:r w:rsidR="0054767F" w:rsidRPr="00BA4C5C">
        <w:rPr>
          <w:b/>
        </w:rPr>
        <w:t xml:space="preserve"> </w:t>
      </w:r>
      <w:r w:rsidR="0054767F" w:rsidRPr="00BA4C5C">
        <w:t>in the proceedings</w:t>
      </w:r>
      <w:r w:rsidR="00891FDD" w:rsidRPr="00BA4C5C">
        <w:t xml:space="preserve"> and the institutional publication series</w:t>
      </w:r>
      <w:r w:rsidR="0054767F" w:rsidRPr="00BA4C5C">
        <w:rPr>
          <w:b/>
        </w:rPr>
        <w:t>.</w:t>
      </w:r>
      <w:r w:rsidR="005E19F5">
        <w:rPr>
          <w:b/>
        </w:rPr>
        <w:t xml:space="preserve"> </w:t>
      </w:r>
    </w:p>
    <w:p w14:paraId="11656C00" w14:textId="758FBE10" w:rsidR="00571915" w:rsidRDefault="008E4088" w:rsidP="00571915">
      <w:pPr>
        <w:pStyle w:val="ListParagraph"/>
        <w:numPr>
          <w:ilvl w:val="1"/>
          <w:numId w:val="3"/>
        </w:numPr>
        <w:spacing w:after="160" w:line="259" w:lineRule="auto"/>
      </w:pPr>
      <w:r>
        <w:t>Detailed information about the WCTR</w:t>
      </w:r>
      <w:r w:rsidR="004A0771">
        <w:t>16</w:t>
      </w:r>
      <w:r>
        <w:t xml:space="preserve"> conference will </w:t>
      </w:r>
      <w:r w:rsidR="00F24AE3">
        <w:t>be published at</w:t>
      </w:r>
      <w:r>
        <w:t xml:space="preserve"> </w:t>
      </w:r>
      <w:hyperlink r:id="rId9" w:history="1">
        <w:r w:rsidRPr="00D94FA3">
          <w:rPr>
            <w:rStyle w:val="Hyperlink"/>
          </w:rPr>
          <w:t>https://wctr2022.ca/</w:t>
        </w:r>
      </w:hyperlink>
      <w:r>
        <w:t xml:space="preserve">. </w:t>
      </w:r>
    </w:p>
    <w:p w14:paraId="17DB5600" w14:textId="32184C92" w:rsidR="002D3F73" w:rsidRPr="005E19F5" w:rsidRDefault="0086238C" w:rsidP="005E19F5">
      <w:pPr>
        <w:pStyle w:val="Heading1"/>
      </w:pPr>
      <w:r w:rsidRPr="005E19F5">
        <w:t>Deadlines and i</w:t>
      </w:r>
      <w:r w:rsidR="002D3F73" w:rsidRPr="005E19F5">
        <w:t>mportant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D3F73" w14:paraId="63C24C93" w14:textId="77777777" w:rsidTr="00FF6225">
        <w:tc>
          <w:tcPr>
            <w:tcW w:w="3510" w:type="dxa"/>
          </w:tcPr>
          <w:p w14:paraId="547EFBD1" w14:textId="7FD4C08D" w:rsidR="002D3F73" w:rsidRDefault="0086238C" w:rsidP="00B412F2">
            <w:pPr>
              <w:rPr>
                <w:lang w:val="en-US"/>
              </w:rPr>
            </w:pPr>
            <w:r>
              <w:rPr>
                <w:lang w:val="en-US"/>
              </w:rPr>
              <w:t>March</w:t>
            </w:r>
            <w:r w:rsidR="002D3F73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1</w:t>
            </w:r>
          </w:p>
        </w:tc>
        <w:tc>
          <w:tcPr>
            <w:tcW w:w="5732" w:type="dxa"/>
          </w:tcPr>
          <w:p w14:paraId="268F5526" w14:textId="1CF03EE2" w:rsidR="002D3F73" w:rsidRDefault="002D3F73" w:rsidP="00B412F2">
            <w:pPr>
              <w:rPr>
                <w:lang w:val="en-US"/>
              </w:rPr>
            </w:pPr>
            <w:r>
              <w:rPr>
                <w:lang w:val="en-US"/>
              </w:rPr>
              <w:t>Call for Papers</w:t>
            </w:r>
            <w:r w:rsidR="002C3610">
              <w:rPr>
                <w:lang w:val="en-US"/>
              </w:rPr>
              <w:t xml:space="preserve"> (this document)</w:t>
            </w:r>
          </w:p>
        </w:tc>
      </w:tr>
      <w:tr w:rsidR="002D3F73" w14:paraId="72432C09" w14:textId="77777777" w:rsidTr="00FF6225">
        <w:tc>
          <w:tcPr>
            <w:tcW w:w="3510" w:type="dxa"/>
          </w:tcPr>
          <w:p w14:paraId="30007EF7" w14:textId="208F6F2F" w:rsidR="00D97AC7" w:rsidRPr="005F5C2B" w:rsidRDefault="00D97AC7" w:rsidP="00FF6225">
            <w:pPr>
              <w:rPr>
                <w:rStyle w:val="Emphasis"/>
                <w:i w:val="0"/>
              </w:rPr>
            </w:pPr>
            <w:r w:rsidRPr="005F5C2B">
              <w:rPr>
                <w:rStyle w:val="Emphasis"/>
                <w:i w:val="0"/>
                <w:color w:val="00B050"/>
              </w:rPr>
              <w:t>3</w:t>
            </w:r>
            <w:r w:rsidR="00FF6225" w:rsidRPr="005F5C2B">
              <w:rPr>
                <w:rStyle w:val="Emphasis"/>
                <w:i w:val="0"/>
                <w:color w:val="00B050"/>
              </w:rPr>
              <w:t>1st</w:t>
            </w:r>
            <w:r w:rsidRPr="005F5C2B">
              <w:rPr>
                <w:rStyle w:val="Emphasis"/>
                <w:i w:val="0"/>
                <w:color w:val="00B050"/>
              </w:rPr>
              <w:t xml:space="preserve"> May 2021</w:t>
            </w:r>
          </w:p>
        </w:tc>
        <w:tc>
          <w:tcPr>
            <w:tcW w:w="5732" w:type="dxa"/>
          </w:tcPr>
          <w:p w14:paraId="1E13A239" w14:textId="77777777" w:rsidR="002D3F73" w:rsidRDefault="002D3F73" w:rsidP="00B412F2">
            <w:pPr>
              <w:rPr>
                <w:lang w:val="en-US"/>
              </w:rPr>
            </w:pPr>
            <w:r>
              <w:rPr>
                <w:lang w:val="en-US"/>
              </w:rPr>
              <w:t>Deadline for abstract submission</w:t>
            </w:r>
          </w:p>
        </w:tc>
      </w:tr>
      <w:tr w:rsidR="002D3F73" w:rsidRPr="008C3FD1" w14:paraId="09205220" w14:textId="77777777" w:rsidTr="00FF6225">
        <w:tc>
          <w:tcPr>
            <w:tcW w:w="3510" w:type="dxa"/>
          </w:tcPr>
          <w:p w14:paraId="15FD527A" w14:textId="2C121FF0" w:rsidR="002D3F73" w:rsidRDefault="0086238C" w:rsidP="00B412F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86238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  <w:r w:rsidR="002D3F73">
              <w:rPr>
                <w:lang w:val="en-US"/>
              </w:rPr>
              <w:t xml:space="preserve"> 2021</w:t>
            </w:r>
          </w:p>
        </w:tc>
        <w:tc>
          <w:tcPr>
            <w:tcW w:w="5732" w:type="dxa"/>
          </w:tcPr>
          <w:p w14:paraId="3251D9E1" w14:textId="77777777" w:rsidR="002D3F73" w:rsidRDefault="002D3F73" w:rsidP="00B412F2">
            <w:pPr>
              <w:rPr>
                <w:lang w:val="en-US"/>
              </w:rPr>
            </w:pPr>
            <w:r>
              <w:rPr>
                <w:lang w:val="en-US"/>
              </w:rPr>
              <w:t>Results of abstract review informed to the author</w:t>
            </w:r>
          </w:p>
        </w:tc>
      </w:tr>
      <w:tr w:rsidR="002D3F73" w:rsidRPr="008C3FD1" w14:paraId="4B8D5523" w14:textId="77777777" w:rsidTr="00FF6225">
        <w:tc>
          <w:tcPr>
            <w:tcW w:w="3510" w:type="dxa"/>
          </w:tcPr>
          <w:p w14:paraId="37FB50BF" w14:textId="7E117877" w:rsidR="002D3F73" w:rsidRDefault="004E1A8C" w:rsidP="00B412F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D36B2A" w:rsidRPr="00D36B2A">
              <w:rPr>
                <w:vertAlign w:val="superscript"/>
                <w:lang w:val="en-US"/>
              </w:rPr>
              <w:t>th</w:t>
            </w:r>
            <w:r w:rsidR="00D36B2A">
              <w:rPr>
                <w:lang w:val="en-US"/>
              </w:rPr>
              <w:t xml:space="preserve"> </w:t>
            </w:r>
            <w:r>
              <w:rPr>
                <w:lang w:val="en-US"/>
              </w:rPr>
              <w:t>September</w:t>
            </w:r>
            <w:r w:rsidR="002D3F73">
              <w:rPr>
                <w:lang w:val="en-US"/>
              </w:rPr>
              <w:t xml:space="preserve"> 2021</w:t>
            </w:r>
          </w:p>
        </w:tc>
        <w:tc>
          <w:tcPr>
            <w:tcW w:w="5732" w:type="dxa"/>
          </w:tcPr>
          <w:p w14:paraId="3F556EED" w14:textId="77777777" w:rsidR="002D3F73" w:rsidRDefault="002D3F73" w:rsidP="00B412F2">
            <w:pPr>
              <w:rPr>
                <w:lang w:val="en-US"/>
              </w:rPr>
            </w:pPr>
            <w:r>
              <w:rPr>
                <w:lang w:val="en-US"/>
              </w:rPr>
              <w:t>Deadline for full paper submission</w:t>
            </w:r>
          </w:p>
        </w:tc>
      </w:tr>
      <w:tr w:rsidR="002D3F73" w:rsidRPr="008C3FD1" w14:paraId="5D186288" w14:textId="77777777" w:rsidTr="00FF6225">
        <w:tc>
          <w:tcPr>
            <w:tcW w:w="3510" w:type="dxa"/>
          </w:tcPr>
          <w:p w14:paraId="0807EDCB" w14:textId="0668A9A4" w:rsidR="002D3F73" w:rsidRPr="007C1BBE" w:rsidRDefault="0086238C" w:rsidP="00B412F2">
            <w:pPr>
              <w:rPr>
                <w:b/>
                <w:lang w:val="en-US"/>
              </w:rPr>
            </w:pPr>
            <w:r w:rsidRPr="007C1BBE">
              <w:rPr>
                <w:b/>
                <w:lang w:val="en-US"/>
              </w:rPr>
              <w:t>27</w:t>
            </w:r>
            <w:r w:rsidRPr="007C1BBE">
              <w:rPr>
                <w:b/>
                <w:vertAlign w:val="superscript"/>
                <w:lang w:val="en-US"/>
              </w:rPr>
              <w:t>th</w:t>
            </w:r>
            <w:r w:rsidR="003E45DC" w:rsidRPr="007C1BBE">
              <w:rPr>
                <w:b/>
                <w:vertAlign w:val="superscript"/>
                <w:lang w:val="en-US"/>
              </w:rPr>
              <w:t xml:space="preserve"> </w:t>
            </w:r>
            <w:r w:rsidR="003E45DC" w:rsidRPr="007C1BBE">
              <w:rPr>
                <w:b/>
                <w:lang w:val="en-US"/>
              </w:rPr>
              <w:t>to 29</w:t>
            </w:r>
            <w:r w:rsidR="003E45DC" w:rsidRPr="007C1BBE">
              <w:rPr>
                <w:b/>
                <w:vertAlign w:val="superscript"/>
                <w:lang w:val="en-US"/>
              </w:rPr>
              <w:t>th</w:t>
            </w:r>
            <w:r w:rsidR="003E45DC" w:rsidRPr="007C1BBE">
              <w:rPr>
                <w:b/>
                <w:lang w:val="en-US"/>
              </w:rPr>
              <w:t xml:space="preserve"> </w:t>
            </w:r>
            <w:r w:rsidRPr="007C1BBE">
              <w:rPr>
                <w:b/>
                <w:lang w:val="en-US"/>
              </w:rPr>
              <w:t>September 2021</w:t>
            </w:r>
          </w:p>
        </w:tc>
        <w:tc>
          <w:tcPr>
            <w:tcW w:w="5732" w:type="dxa"/>
          </w:tcPr>
          <w:p w14:paraId="333A4290" w14:textId="1C85E4AF" w:rsidR="002D3F73" w:rsidRPr="005E19F5" w:rsidRDefault="002D3F73" w:rsidP="00B412F2">
            <w:pPr>
              <w:rPr>
                <w:b/>
                <w:lang w:val="en-US"/>
              </w:rPr>
            </w:pPr>
            <w:r w:rsidRPr="005E19F5">
              <w:rPr>
                <w:b/>
                <w:lang w:val="en-US"/>
              </w:rPr>
              <w:t xml:space="preserve">Intermediate SIG G2 Workshop </w:t>
            </w:r>
            <w:r w:rsidR="0054767F" w:rsidRPr="005E19F5">
              <w:rPr>
                <w:b/>
                <w:lang w:val="en-US"/>
              </w:rPr>
              <w:t>as an online conference</w:t>
            </w:r>
          </w:p>
        </w:tc>
      </w:tr>
      <w:tr w:rsidR="00D944BC" w:rsidRPr="00D944BC" w14:paraId="1B8664EC" w14:textId="77777777" w:rsidTr="00FF6225">
        <w:tc>
          <w:tcPr>
            <w:tcW w:w="3510" w:type="dxa"/>
          </w:tcPr>
          <w:p w14:paraId="350ED6F5" w14:textId="201F92F2" w:rsidR="002649DC" w:rsidRPr="005F5C2B" w:rsidRDefault="00D97AC7" w:rsidP="00FF6225">
            <w:pPr>
              <w:rPr>
                <w:rStyle w:val="Emphasis"/>
                <w:color w:val="00B050"/>
              </w:rPr>
            </w:pPr>
            <w:r w:rsidRPr="005F5C2B">
              <w:rPr>
                <w:rStyle w:val="Emphasis"/>
                <w:color w:val="00B050"/>
              </w:rPr>
              <w:t xml:space="preserve">15th </w:t>
            </w:r>
            <w:r w:rsidR="002649DC" w:rsidRPr="005F5C2B">
              <w:rPr>
                <w:rStyle w:val="Emphasis"/>
                <w:color w:val="00B050"/>
              </w:rPr>
              <w:t>October 2021</w:t>
            </w:r>
          </w:p>
        </w:tc>
        <w:tc>
          <w:tcPr>
            <w:tcW w:w="5732" w:type="dxa"/>
          </w:tcPr>
          <w:p w14:paraId="15593D03" w14:textId="3F7621CB" w:rsidR="002649DC" w:rsidRPr="005F5C2B" w:rsidRDefault="00F85C51" w:rsidP="00B412F2">
            <w:pPr>
              <w:rPr>
                <w:rStyle w:val="Emphasis"/>
                <w:color w:val="00B050"/>
              </w:rPr>
            </w:pPr>
            <w:r w:rsidRPr="005F5C2B">
              <w:rPr>
                <w:rStyle w:val="Emphasis"/>
                <w:color w:val="00B050"/>
              </w:rPr>
              <w:t>Invitation to ETRR Topical Collectio</w:t>
            </w:r>
            <w:r w:rsidR="00D97AC7" w:rsidRPr="005F5C2B">
              <w:rPr>
                <w:rStyle w:val="Emphasis"/>
                <w:color w:val="00B050"/>
              </w:rPr>
              <w:t>n</w:t>
            </w:r>
          </w:p>
        </w:tc>
      </w:tr>
      <w:tr w:rsidR="00D944BC" w:rsidRPr="00D944BC" w14:paraId="41511C84" w14:textId="77777777" w:rsidTr="00FF6225">
        <w:tc>
          <w:tcPr>
            <w:tcW w:w="3510" w:type="dxa"/>
          </w:tcPr>
          <w:p w14:paraId="48C7D594" w14:textId="066CF84E" w:rsidR="002649DC" w:rsidRPr="005F5C2B" w:rsidRDefault="002649DC" w:rsidP="00FF6225">
            <w:pPr>
              <w:rPr>
                <w:rStyle w:val="Emphasis"/>
                <w:color w:val="00B050"/>
              </w:rPr>
            </w:pPr>
            <w:r w:rsidRPr="005F5C2B">
              <w:rPr>
                <w:rStyle w:val="Emphasis"/>
                <w:color w:val="00B050"/>
              </w:rPr>
              <w:t>3</w:t>
            </w:r>
            <w:r w:rsidR="00D97AC7" w:rsidRPr="005F5C2B">
              <w:rPr>
                <w:rStyle w:val="Emphasis"/>
                <w:color w:val="00B050"/>
              </w:rPr>
              <w:t>0th November</w:t>
            </w:r>
            <w:r w:rsidRPr="005F5C2B">
              <w:rPr>
                <w:rStyle w:val="Emphasis"/>
                <w:color w:val="00B050"/>
              </w:rPr>
              <w:t xml:space="preserve"> 202</w:t>
            </w:r>
            <w:r w:rsidR="00D97AC7" w:rsidRPr="005F5C2B">
              <w:rPr>
                <w:rStyle w:val="Emphasis"/>
                <w:color w:val="00B050"/>
              </w:rPr>
              <w:t>1</w:t>
            </w:r>
          </w:p>
        </w:tc>
        <w:tc>
          <w:tcPr>
            <w:tcW w:w="5732" w:type="dxa"/>
          </w:tcPr>
          <w:p w14:paraId="355963A9" w14:textId="76264D25" w:rsidR="002649DC" w:rsidRPr="005F5C2B" w:rsidRDefault="00F85C51" w:rsidP="00B412F2">
            <w:pPr>
              <w:rPr>
                <w:rStyle w:val="Emphasis"/>
                <w:color w:val="00B050"/>
              </w:rPr>
            </w:pPr>
            <w:r w:rsidRPr="005F5C2B">
              <w:rPr>
                <w:rStyle w:val="Emphasis"/>
                <w:color w:val="00B050"/>
              </w:rPr>
              <w:t>Submission of full paper to ETRR Topical Collection</w:t>
            </w:r>
          </w:p>
        </w:tc>
      </w:tr>
    </w:tbl>
    <w:p w14:paraId="1462F571" w14:textId="77777777" w:rsidR="005E19F5" w:rsidRDefault="005E19F5" w:rsidP="00E24BB2">
      <w:pPr>
        <w:jc w:val="center"/>
        <w:rPr>
          <w:b/>
        </w:rPr>
      </w:pPr>
      <w:bookmarkStart w:id="0" w:name="_GoBack"/>
      <w:bookmarkEnd w:id="0"/>
    </w:p>
    <w:p w14:paraId="74FD6B20" w14:textId="56F1C6C2" w:rsidR="002D70C0" w:rsidRPr="00DC4B00" w:rsidRDefault="003A20B9" w:rsidP="00E24BB2">
      <w:pPr>
        <w:jc w:val="center"/>
        <w:rPr>
          <w:b/>
        </w:rPr>
      </w:pPr>
      <w:r w:rsidRPr="00DC4B00">
        <w:rPr>
          <w:b/>
        </w:rPr>
        <w:t>We are l</w:t>
      </w:r>
      <w:r w:rsidR="002D70C0" w:rsidRPr="00DC4B00">
        <w:rPr>
          <w:b/>
        </w:rPr>
        <w:t>ooking forward to your contribution</w:t>
      </w:r>
      <w:r w:rsidR="003C687C" w:rsidRPr="00DC4B00">
        <w:rPr>
          <w:b/>
        </w:rPr>
        <w:t>s</w:t>
      </w:r>
      <w:r w:rsidR="002D70C0" w:rsidRPr="00DC4B00">
        <w:rPr>
          <w:b/>
        </w:rPr>
        <w:t xml:space="preserve"> </w:t>
      </w:r>
      <w:r w:rsidR="003C687C" w:rsidRPr="00DC4B00">
        <w:rPr>
          <w:b/>
        </w:rPr>
        <w:t>on behalf</w:t>
      </w:r>
      <w:r w:rsidR="002D70C0" w:rsidRPr="00DC4B00">
        <w:rPr>
          <w:b/>
        </w:rPr>
        <w:t xml:space="preserve"> of all SIG G2 members</w:t>
      </w:r>
      <w:r w:rsidRPr="00DC4B00">
        <w:rPr>
          <w:b/>
        </w:rPr>
        <w:t>!</w:t>
      </w:r>
    </w:p>
    <w:p w14:paraId="39039878" w14:textId="099ECC96" w:rsidR="002D70C0" w:rsidRPr="003B1E5F" w:rsidRDefault="002D70C0" w:rsidP="002D70C0">
      <w:r w:rsidRPr="003B1E5F">
        <w:t>Yours sincerely</w:t>
      </w:r>
      <w:r w:rsidR="0054767F">
        <w:t>,</w:t>
      </w:r>
      <w:r w:rsidRPr="003B1E5F">
        <w:t xml:space="preserve"> </w:t>
      </w:r>
    </w:p>
    <w:p w14:paraId="5DA299DB" w14:textId="10636E8B" w:rsidR="002D70C0" w:rsidRDefault="002D70C0" w:rsidP="002D70C0">
      <w:pPr>
        <w:jc w:val="center"/>
        <w:rPr>
          <w:lang w:eastAsia="zh-CN"/>
        </w:rPr>
      </w:pPr>
      <w:r w:rsidRPr="003B1E5F">
        <w:rPr>
          <w:b/>
        </w:rPr>
        <w:t>Guenter</w:t>
      </w:r>
      <w:r w:rsidR="00BE7F43">
        <w:rPr>
          <w:b/>
        </w:rPr>
        <w:t xml:space="preserve"> </w:t>
      </w:r>
      <w:r w:rsidRPr="003B1E5F">
        <w:rPr>
          <w:b/>
        </w:rPr>
        <w:t>Emberger</w:t>
      </w:r>
      <w:r w:rsidRPr="003B1E5F">
        <w:t>,</w:t>
      </w:r>
      <w:r w:rsidR="00BE7F43">
        <w:t xml:space="preserve"> </w:t>
      </w:r>
      <w:r w:rsidRPr="003B1E5F">
        <w:t>A.o.Univ.</w:t>
      </w:r>
      <w:r>
        <w:t>Prof.</w:t>
      </w:r>
      <w:r w:rsidR="0054767F">
        <w:t xml:space="preserve">, Chair </w:t>
      </w:r>
      <w:r w:rsidR="0054767F" w:rsidRPr="00F419FB">
        <w:t>of SIG G2</w:t>
      </w:r>
      <w:r w:rsidR="005E19F5">
        <w:br/>
      </w:r>
      <w:r>
        <w:t xml:space="preserve">Head of Research Center for Transport Planning and Traffic Engineering, </w:t>
      </w:r>
      <w:r w:rsidR="0054767F">
        <w:br/>
      </w:r>
      <w:r>
        <w:t>Vienna University of Technology</w:t>
      </w:r>
    </w:p>
    <w:p w14:paraId="793894C6" w14:textId="48E268EE" w:rsidR="002D70C0" w:rsidRPr="00614D95" w:rsidRDefault="002D70C0" w:rsidP="002D70C0">
      <w:pPr>
        <w:jc w:val="center"/>
        <w:rPr>
          <w:lang w:eastAsia="zh-CN"/>
        </w:rPr>
      </w:pPr>
      <w:r w:rsidRPr="003B1E5F">
        <w:rPr>
          <w:rFonts w:hint="eastAsia"/>
          <w:b/>
          <w:lang w:eastAsia="zh-CN"/>
        </w:rPr>
        <w:t>Yacan Wang</w:t>
      </w:r>
      <w:r>
        <w:rPr>
          <w:rFonts w:hint="eastAsia"/>
          <w:lang w:eastAsia="zh-CN"/>
        </w:rPr>
        <w:t xml:space="preserve">, </w:t>
      </w:r>
      <w:r w:rsidR="004858D0">
        <w:rPr>
          <w:lang w:eastAsia="zh-CN"/>
        </w:rPr>
        <w:t>Ph.D.</w:t>
      </w:r>
      <w:r>
        <w:rPr>
          <w:rFonts w:hint="eastAsia"/>
          <w:lang w:eastAsia="zh-CN"/>
        </w:rPr>
        <w:t xml:space="preserve"> and Professor</w:t>
      </w:r>
      <w:r w:rsidR="0054767F">
        <w:rPr>
          <w:lang w:eastAsia="zh-CN"/>
        </w:rPr>
        <w:t xml:space="preserve">, </w:t>
      </w:r>
      <w:r w:rsidR="0054767F">
        <w:t>Vice-</w:t>
      </w:r>
      <w:r w:rsidR="0054767F" w:rsidRPr="00F419FB">
        <w:t xml:space="preserve">Chair of SIG </w:t>
      </w:r>
      <w:r w:rsidR="0054767F" w:rsidRPr="00F419FB">
        <w:rPr>
          <w:lang w:eastAsia="zh-CN"/>
        </w:rPr>
        <w:t>G2</w:t>
      </w:r>
      <w:r w:rsidR="005E19F5">
        <w:rPr>
          <w:lang w:eastAsia="zh-CN"/>
        </w:rPr>
        <w:br/>
      </w:r>
      <w:r w:rsidRPr="009209E5">
        <w:rPr>
          <w:lang w:eastAsia="zh-CN"/>
        </w:rPr>
        <w:t>Vice Director of the Chinese Transport Economics Research Center, Beijing Jiaotong University</w:t>
      </w:r>
    </w:p>
    <w:p w14:paraId="2F337248" w14:textId="28CA8CEA" w:rsidR="0054767F" w:rsidRDefault="0054767F" w:rsidP="0054767F">
      <w:pPr>
        <w:jc w:val="center"/>
      </w:pPr>
      <w:r w:rsidRPr="0054767F">
        <w:rPr>
          <w:b/>
        </w:rPr>
        <w:lastRenderedPageBreak/>
        <w:t>Takeru Shibayama</w:t>
      </w:r>
      <w:r>
        <w:t>, PhD, Co-chair of SIG G2</w:t>
      </w:r>
      <w:r w:rsidR="005E19F5">
        <w:br/>
      </w:r>
      <w:r>
        <w:t>Research Center for Transport Planning and Traffic Engineering, Vienna University of Technology</w:t>
      </w:r>
    </w:p>
    <w:sectPr w:rsidR="0054767F" w:rsidSect="005E19F5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B4582" w14:textId="77777777" w:rsidR="00B5793D" w:rsidRDefault="00B5793D" w:rsidP="007225D5">
      <w:pPr>
        <w:spacing w:after="0" w:line="240" w:lineRule="auto"/>
      </w:pPr>
      <w:r>
        <w:separator/>
      </w:r>
    </w:p>
  </w:endnote>
  <w:endnote w:type="continuationSeparator" w:id="0">
    <w:p w14:paraId="1600AC1C" w14:textId="77777777" w:rsidR="00B5793D" w:rsidRDefault="00B5793D" w:rsidP="0072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578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22B7A" w14:textId="19C333FA" w:rsidR="00C61EA7" w:rsidRDefault="00C61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C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3DF251" w14:textId="77777777" w:rsidR="00C61EA7" w:rsidRDefault="00C6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66C23" w14:textId="77777777" w:rsidR="00B5793D" w:rsidRDefault="00B5793D" w:rsidP="007225D5">
      <w:pPr>
        <w:spacing w:after="0" w:line="240" w:lineRule="auto"/>
      </w:pPr>
      <w:r>
        <w:separator/>
      </w:r>
    </w:p>
  </w:footnote>
  <w:footnote w:type="continuationSeparator" w:id="0">
    <w:p w14:paraId="0CD6283D" w14:textId="77777777" w:rsidR="00B5793D" w:rsidRDefault="00B5793D" w:rsidP="0072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tails of the World Conference on Transport Research Society"/>
      <w:tblDescription w:val="Details of the WCTRS, including the Society logo and postal address of the Society Secretariat"/>
    </w:tblPr>
    <w:tblGrid>
      <w:gridCol w:w="1369"/>
      <w:gridCol w:w="4748"/>
      <w:gridCol w:w="3125"/>
    </w:tblGrid>
    <w:tr w:rsidR="007225D5" w:rsidRPr="007225D5" w14:paraId="3436182C" w14:textId="77777777" w:rsidTr="00B412F2">
      <w:trPr>
        <w:trHeight w:val="1550"/>
      </w:trPr>
      <w:tc>
        <w:tcPr>
          <w:tcW w:w="1413" w:type="dxa"/>
          <w:vAlign w:val="center"/>
        </w:tcPr>
        <w:p w14:paraId="2E8C647B" w14:textId="77777777" w:rsidR="007225D5" w:rsidRDefault="007225D5" w:rsidP="00B412F2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1" locked="0" layoutInCell="1" allowOverlap="1" wp14:anchorId="5A1A403E" wp14:editId="3C1F60B1">
                <wp:simplePos x="0" y="0"/>
                <wp:positionH relativeFrom="page">
                  <wp:posOffset>59055</wp:posOffset>
                </wp:positionH>
                <wp:positionV relativeFrom="paragraph">
                  <wp:posOffset>3810</wp:posOffset>
                </wp:positionV>
                <wp:extent cx="714375" cy="942975"/>
                <wp:effectExtent l="0" t="0" r="9525" b="9525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1" w:type="dxa"/>
          <w:vAlign w:val="center"/>
        </w:tcPr>
        <w:p w14:paraId="5AF795DA" w14:textId="77777777" w:rsidR="007225D5" w:rsidRPr="00752005" w:rsidRDefault="007225D5" w:rsidP="00B412F2">
          <w:pPr>
            <w:spacing w:before="75"/>
            <w:ind w:right="-68"/>
            <w:rPr>
              <w:rFonts w:ascii="Arial" w:eastAsia="Arial" w:hAnsi="Arial" w:cs="Arial"/>
              <w:lang w:val="en-US"/>
            </w:rPr>
          </w:pPr>
          <w:r w:rsidRPr="00DB0FCE">
            <w:rPr>
              <w:rFonts w:ascii="Arial" w:eastAsia="Arial" w:hAnsi="Arial" w:cs="Arial"/>
              <w:color w:val="0070C0"/>
              <w:spacing w:val="-1"/>
              <w:sz w:val="28"/>
              <w:szCs w:val="28"/>
              <w:lang w:val="en-US"/>
            </w:rPr>
            <w:t>W</w:t>
          </w:r>
          <w:r w:rsidRPr="00DB0FCE">
            <w:rPr>
              <w:rFonts w:ascii="Arial" w:eastAsia="Arial" w:hAnsi="Arial" w:cs="Arial"/>
              <w:color w:val="0070C0"/>
              <w:spacing w:val="1"/>
              <w:lang w:val="en-US"/>
            </w:rPr>
            <w:t>O</w:t>
          </w:r>
          <w:r w:rsidRPr="00DB0FCE">
            <w:rPr>
              <w:rFonts w:ascii="Arial" w:eastAsia="Arial" w:hAnsi="Arial" w:cs="Arial"/>
              <w:color w:val="0070C0"/>
              <w:spacing w:val="-1"/>
              <w:w w:val="104"/>
              <w:lang w:val="en-US"/>
            </w:rPr>
            <w:t>R</w:t>
          </w:r>
          <w:r w:rsidRPr="00DB0FCE">
            <w:rPr>
              <w:rFonts w:ascii="Arial" w:eastAsia="Arial" w:hAnsi="Arial" w:cs="Arial"/>
              <w:color w:val="0070C0"/>
              <w:w w:val="104"/>
              <w:lang w:val="en-US"/>
            </w:rPr>
            <w:t>L</w:t>
          </w:r>
          <w:r>
            <w:rPr>
              <w:rFonts w:ascii="Arial" w:eastAsia="Arial" w:hAnsi="Arial" w:cs="Arial"/>
              <w:color w:val="0070C0"/>
              <w:lang w:val="en-US"/>
            </w:rPr>
            <w:t>D</w:t>
          </w:r>
          <w:r>
            <w:rPr>
              <w:rFonts w:ascii="Arial" w:eastAsia="Arial" w:hAnsi="Arial" w:cs="Arial"/>
              <w:color w:val="0070C0"/>
              <w:lang w:val="en-US"/>
            </w:rPr>
            <w:br/>
          </w:r>
          <w:r w:rsidRPr="00DB0FCE">
            <w:rPr>
              <w:rFonts w:ascii="Arial" w:eastAsia="Arial" w:hAnsi="Arial" w:cs="Arial"/>
              <w:color w:val="0070C0"/>
              <w:spacing w:val="-1"/>
              <w:sz w:val="28"/>
              <w:szCs w:val="28"/>
              <w:lang w:val="en-US"/>
            </w:rPr>
            <w:t>C</w:t>
          </w:r>
          <w:r w:rsidRPr="00DB0FCE">
            <w:rPr>
              <w:rFonts w:ascii="Arial" w:eastAsia="Arial" w:hAnsi="Arial" w:cs="Arial"/>
              <w:color w:val="0070C0"/>
              <w:spacing w:val="1"/>
              <w:lang w:val="en-US"/>
            </w:rPr>
            <w:t>O</w:t>
          </w:r>
          <w:r w:rsidRPr="00DB0FCE">
            <w:rPr>
              <w:rFonts w:ascii="Arial" w:eastAsia="Arial" w:hAnsi="Arial" w:cs="Arial"/>
              <w:color w:val="0070C0"/>
              <w:spacing w:val="-1"/>
              <w:lang w:val="en-US"/>
            </w:rPr>
            <w:t>N</w:t>
          </w:r>
          <w:r w:rsidRPr="00DB0FCE">
            <w:rPr>
              <w:rFonts w:ascii="Arial" w:eastAsia="Arial" w:hAnsi="Arial" w:cs="Arial"/>
              <w:color w:val="0070C0"/>
              <w:lang w:val="en-US"/>
            </w:rPr>
            <w:t>F</w:t>
          </w:r>
          <w:r w:rsidRPr="00DB0FCE">
            <w:rPr>
              <w:rFonts w:ascii="Arial" w:eastAsia="Arial" w:hAnsi="Arial" w:cs="Arial"/>
              <w:color w:val="0070C0"/>
              <w:spacing w:val="-1"/>
              <w:lang w:val="en-US"/>
            </w:rPr>
            <w:t>ERENC</w:t>
          </w:r>
          <w:r w:rsidRPr="00DB0FCE">
            <w:rPr>
              <w:rFonts w:ascii="Arial" w:eastAsia="Arial" w:hAnsi="Arial" w:cs="Arial"/>
              <w:color w:val="0070C0"/>
              <w:lang w:val="en-US"/>
            </w:rPr>
            <w:t>E</w:t>
          </w:r>
          <w:r w:rsidRPr="00DB0FCE">
            <w:rPr>
              <w:rFonts w:ascii="Arial" w:eastAsia="Arial" w:hAnsi="Arial" w:cs="Arial"/>
              <w:color w:val="0070C0"/>
              <w:spacing w:val="1"/>
              <w:lang w:val="en-US"/>
            </w:rPr>
            <w:t>O</w:t>
          </w:r>
          <w:r w:rsidRPr="00DB0FCE">
            <w:rPr>
              <w:rFonts w:ascii="Arial" w:eastAsia="Arial" w:hAnsi="Arial" w:cs="Arial"/>
              <w:color w:val="0070C0"/>
              <w:lang w:val="en-US"/>
            </w:rPr>
            <w:t xml:space="preserve">N </w:t>
          </w:r>
          <w:r>
            <w:rPr>
              <w:rFonts w:ascii="Arial" w:eastAsia="Arial" w:hAnsi="Arial" w:cs="Arial"/>
              <w:color w:val="0070C0"/>
              <w:lang w:val="en-US"/>
            </w:rPr>
            <w:br/>
          </w:r>
          <w:r w:rsidRPr="00DB0FCE">
            <w:rPr>
              <w:rFonts w:ascii="Arial" w:eastAsia="Arial" w:hAnsi="Arial" w:cs="Arial"/>
              <w:color w:val="0070C0"/>
              <w:spacing w:val="-1"/>
              <w:sz w:val="28"/>
              <w:szCs w:val="28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pacing w:val="4"/>
              <w:lang w:val="en-US"/>
            </w:rPr>
            <w:t>R</w:t>
          </w:r>
          <w:r w:rsidRPr="00DB0FCE">
            <w:rPr>
              <w:rFonts w:ascii="Arial" w:eastAsia="Arial" w:hAnsi="Arial" w:cs="Arial"/>
              <w:color w:val="0070C0"/>
              <w:spacing w:val="-6"/>
              <w:w w:val="108"/>
              <w:lang w:val="en-US"/>
            </w:rPr>
            <w:t>A</w:t>
          </w:r>
          <w:r w:rsidRPr="00DB0FCE">
            <w:rPr>
              <w:rFonts w:ascii="Arial" w:eastAsia="Arial" w:hAnsi="Arial" w:cs="Arial"/>
              <w:color w:val="0070C0"/>
              <w:spacing w:val="-1"/>
              <w:lang w:val="en-US"/>
            </w:rPr>
            <w:t>NSP</w:t>
          </w:r>
          <w:r w:rsidRPr="00DB0FCE">
            <w:rPr>
              <w:rFonts w:ascii="Arial" w:eastAsia="Arial" w:hAnsi="Arial" w:cs="Arial"/>
              <w:color w:val="0070C0"/>
              <w:spacing w:val="1"/>
              <w:lang w:val="en-US"/>
            </w:rPr>
            <w:t>OR</w:t>
          </w:r>
          <w:r>
            <w:rPr>
              <w:rFonts w:ascii="Arial" w:eastAsia="Arial" w:hAnsi="Arial" w:cs="Arial"/>
              <w:color w:val="0070C0"/>
              <w:lang w:val="en-US"/>
            </w:rPr>
            <w:t>T</w:t>
          </w:r>
          <w:r>
            <w:rPr>
              <w:rFonts w:ascii="Arial" w:eastAsia="Arial" w:hAnsi="Arial" w:cs="Arial"/>
              <w:color w:val="0070C0"/>
              <w:lang w:val="en-US"/>
            </w:rPr>
            <w:br/>
          </w:r>
          <w:r w:rsidRPr="00DB0FCE">
            <w:rPr>
              <w:rFonts w:ascii="Arial" w:eastAsia="Arial" w:hAnsi="Arial" w:cs="Arial"/>
              <w:color w:val="0070C0"/>
              <w:spacing w:val="-1"/>
              <w:sz w:val="28"/>
              <w:szCs w:val="28"/>
              <w:lang w:val="en-US"/>
            </w:rPr>
            <w:t>R</w:t>
          </w:r>
          <w:r w:rsidRPr="00DB0FCE">
            <w:rPr>
              <w:rFonts w:ascii="Arial" w:eastAsia="Arial" w:hAnsi="Arial" w:cs="Arial"/>
              <w:color w:val="0070C0"/>
              <w:spacing w:val="-1"/>
              <w:lang w:val="en-US"/>
            </w:rPr>
            <w:t>ES</w:t>
          </w:r>
          <w:r w:rsidRPr="00DB0FCE">
            <w:rPr>
              <w:rFonts w:ascii="Arial" w:eastAsia="Arial" w:hAnsi="Arial" w:cs="Arial"/>
              <w:color w:val="0070C0"/>
              <w:spacing w:val="4"/>
              <w:lang w:val="en-US"/>
            </w:rPr>
            <w:t>E</w:t>
          </w:r>
          <w:r w:rsidRPr="00DB0FCE">
            <w:rPr>
              <w:rFonts w:ascii="Arial" w:eastAsia="Arial" w:hAnsi="Arial" w:cs="Arial"/>
              <w:color w:val="0070C0"/>
              <w:spacing w:val="-6"/>
              <w:w w:val="108"/>
              <w:lang w:val="en-US"/>
            </w:rPr>
            <w:t>A</w:t>
          </w:r>
          <w:r w:rsidRPr="00DB0FCE">
            <w:rPr>
              <w:rFonts w:ascii="Arial" w:eastAsia="Arial" w:hAnsi="Arial" w:cs="Arial"/>
              <w:color w:val="0070C0"/>
              <w:spacing w:val="-1"/>
              <w:lang w:val="en-US"/>
            </w:rPr>
            <w:t>R</w:t>
          </w:r>
          <w:r w:rsidRPr="00DB0FCE">
            <w:rPr>
              <w:rFonts w:ascii="Arial" w:eastAsia="Arial" w:hAnsi="Arial" w:cs="Arial"/>
              <w:color w:val="0070C0"/>
              <w:spacing w:val="1"/>
              <w:lang w:val="en-US"/>
            </w:rPr>
            <w:t>C</w:t>
          </w:r>
          <w:r>
            <w:rPr>
              <w:rFonts w:ascii="Arial" w:eastAsia="Arial" w:hAnsi="Arial" w:cs="Arial"/>
              <w:color w:val="0070C0"/>
              <w:lang w:val="en-US"/>
            </w:rPr>
            <w:t>H</w:t>
          </w:r>
          <w:r>
            <w:rPr>
              <w:rFonts w:ascii="Arial" w:eastAsia="Arial" w:hAnsi="Arial" w:cs="Arial"/>
              <w:color w:val="0070C0"/>
              <w:lang w:val="en-US"/>
            </w:rPr>
            <w:br/>
          </w:r>
          <w:r>
            <w:rPr>
              <w:rFonts w:ascii="Arial" w:eastAsia="Arial" w:hAnsi="Arial" w:cs="Arial"/>
              <w:color w:val="0070C0"/>
              <w:sz w:val="28"/>
              <w:szCs w:val="28"/>
              <w:lang w:val="en-US"/>
            </w:rPr>
            <w:t>S</w:t>
          </w:r>
          <w:r w:rsidRPr="00DB0FCE">
            <w:rPr>
              <w:rFonts w:ascii="Arial" w:eastAsia="Arial" w:hAnsi="Arial" w:cs="Arial"/>
              <w:color w:val="0070C0"/>
              <w:spacing w:val="1"/>
              <w:lang w:val="en-US"/>
            </w:rPr>
            <w:t>O</w:t>
          </w:r>
          <w:r w:rsidRPr="00DB0FCE">
            <w:rPr>
              <w:rFonts w:ascii="Arial" w:eastAsia="Arial" w:hAnsi="Arial" w:cs="Arial"/>
              <w:color w:val="0070C0"/>
              <w:spacing w:val="-1"/>
              <w:lang w:val="en-US"/>
            </w:rPr>
            <w:t>C</w:t>
          </w:r>
          <w:r w:rsidRPr="00DB0FCE">
            <w:rPr>
              <w:rFonts w:ascii="Arial" w:eastAsia="Arial" w:hAnsi="Arial" w:cs="Arial"/>
              <w:color w:val="0070C0"/>
              <w:spacing w:val="1"/>
              <w:lang w:val="en-US"/>
            </w:rPr>
            <w:t>I</w:t>
          </w:r>
          <w:r w:rsidRPr="00DB0FCE">
            <w:rPr>
              <w:rFonts w:ascii="Arial" w:eastAsia="Arial" w:hAnsi="Arial" w:cs="Arial"/>
              <w:color w:val="0070C0"/>
              <w:spacing w:val="-1"/>
              <w:lang w:val="en-US"/>
            </w:rPr>
            <w:t>E</w:t>
          </w:r>
          <w:r w:rsidRPr="00DB0FCE">
            <w:rPr>
              <w:rFonts w:ascii="Arial" w:eastAsia="Arial" w:hAnsi="Arial" w:cs="Arial"/>
              <w:color w:val="0070C0"/>
              <w:spacing w:val="-3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lang w:val="en-US"/>
            </w:rPr>
            <w:t>Y</w:t>
          </w:r>
        </w:p>
      </w:tc>
      <w:tc>
        <w:tcPr>
          <w:tcW w:w="3132" w:type="dxa"/>
          <w:vAlign w:val="center"/>
        </w:tcPr>
        <w:p w14:paraId="673CBDDC" w14:textId="77777777" w:rsidR="007225D5" w:rsidRPr="00DB0FCE" w:rsidRDefault="007225D5" w:rsidP="00B412F2">
          <w:pPr>
            <w:spacing w:before="74" w:line="289" w:lineRule="auto"/>
            <w:ind w:left="-25" w:right="181" w:firstLine="48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B0FCE">
            <w:rPr>
              <w:rFonts w:ascii="Arial" w:eastAsia="Arial" w:hAnsi="Arial" w:cs="Arial"/>
              <w:color w:val="0070C0"/>
              <w:spacing w:val="-1"/>
              <w:sz w:val="20"/>
              <w:szCs w:val="20"/>
              <w:lang w:val="en-US"/>
            </w:rPr>
            <w:t>S</w:t>
          </w:r>
          <w:r w:rsidRPr="00DB0FCE">
            <w:rPr>
              <w:rFonts w:ascii="Arial" w:eastAsia="Arial" w:hAnsi="Arial" w:cs="Arial"/>
              <w:color w:val="0070C0"/>
              <w:spacing w:val="1"/>
              <w:sz w:val="16"/>
              <w:szCs w:val="16"/>
              <w:lang w:val="en-US"/>
            </w:rPr>
            <w:t>E</w:t>
          </w:r>
          <w:r w:rsidRPr="00DB0FCE">
            <w:rPr>
              <w:rFonts w:ascii="Arial" w:eastAsia="Arial" w:hAnsi="Arial" w:cs="Arial"/>
              <w:color w:val="0070C0"/>
              <w:spacing w:val="-1"/>
              <w:sz w:val="16"/>
              <w:szCs w:val="16"/>
              <w:lang w:val="en-US"/>
            </w:rPr>
            <w:t>CR</w:t>
          </w:r>
          <w:r w:rsidRPr="00DB0FCE">
            <w:rPr>
              <w:rFonts w:ascii="Arial" w:eastAsia="Arial" w:hAnsi="Arial" w:cs="Arial"/>
              <w:color w:val="0070C0"/>
              <w:spacing w:val="1"/>
              <w:sz w:val="16"/>
              <w:szCs w:val="16"/>
              <w:lang w:val="en-US"/>
            </w:rPr>
            <w:t>E</w:t>
          </w:r>
          <w:r w:rsidRPr="00DB0FCE">
            <w:rPr>
              <w:rFonts w:ascii="Arial" w:eastAsia="Arial" w:hAnsi="Arial" w:cs="Arial"/>
              <w:color w:val="0070C0"/>
              <w:spacing w:val="3"/>
              <w:sz w:val="16"/>
              <w:szCs w:val="16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pacing w:val="-6"/>
              <w:sz w:val="16"/>
              <w:szCs w:val="16"/>
              <w:lang w:val="en-US"/>
            </w:rPr>
            <w:t>A</w:t>
          </w:r>
          <w:r w:rsidRPr="00DB0FCE">
            <w:rPr>
              <w:rFonts w:ascii="Arial" w:eastAsia="Arial" w:hAnsi="Arial" w:cs="Arial"/>
              <w:color w:val="0070C0"/>
              <w:spacing w:val="-1"/>
              <w:sz w:val="16"/>
              <w:szCs w:val="16"/>
              <w:lang w:val="en-US"/>
            </w:rPr>
            <w:t>R</w:t>
          </w:r>
          <w:r w:rsidRPr="00DB0FCE">
            <w:rPr>
              <w:rFonts w:ascii="Arial" w:eastAsia="Arial" w:hAnsi="Arial" w:cs="Arial"/>
              <w:color w:val="0070C0"/>
              <w:spacing w:val="6"/>
              <w:sz w:val="16"/>
              <w:szCs w:val="16"/>
              <w:lang w:val="en-US"/>
            </w:rPr>
            <w:t>I</w:t>
          </w:r>
          <w:r w:rsidRPr="00DB0FCE">
            <w:rPr>
              <w:rFonts w:ascii="Arial" w:eastAsia="Arial" w:hAnsi="Arial" w:cs="Arial"/>
              <w:color w:val="0070C0"/>
              <w:spacing w:val="-6"/>
              <w:sz w:val="16"/>
              <w:szCs w:val="16"/>
              <w:lang w:val="en-US"/>
            </w:rPr>
            <w:t>A</w:t>
          </w:r>
          <w:r w:rsidRPr="00DB0FCE">
            <w:rPr>
              <w:rFonts w:ascii="Arial" w:eastAsia="Arial" w:hAnsi="Arial" w:cs="Arial"/>
              <w:color w:val="0070C0"/>
              <w:sz w:val="16"/>
              <w:szCs w:val="16"/>
              <w:lang w:val="en-US"/>
            </w:rPr>
            <w:t>T</w:t>
          </w:r>
          <w:r>
            <w:rPr>
              <w:rFonts w:ascii="Arial" w:eastAsia="Arial" w:hAnsi="Arial" w:cs="Arial"/>
              <w:color w:val="0070C0"/>
              <w:sz w:val="16"/>
              <w:szCs w:val="16"/>
              <w:lang w:val="en-US"/>
            </w:rPr>
            <w:t xml:space="preserve"> </w:t>
          </w:r>
          <w:r w:rsidRPr="00DB0FCE">
            <w:rPr>
              <w:rFonts w:ascii="Arial" w:eastAsia="Arial" w:hAnsi="Arial" w:cs="Arial"/>
              <w:color w:val="0070C0"/>
              <w:sz w:val="16"/>
              <w:szCs w:val="16"/>
              <w:lang w:val="en-US"/>
            </w:rPr>
            <w:t>OF</w:t>
          </w:r>
          <w:r>
            <w:rPr>
              <w:rFonts w:ascii="Arial" w:eastAsia="Arial" w:hAnsi="Arial" w:cs="Arial"/>
              <w:color w:val="0070C0"/>
              <w:sz w:val="16"/>
              <w:szCs w:val="16"/>
              <w:lang w:val="en-US"/>
            </w:rPr>
            <w:t xml:space="preserve"> </w:t>
          </w:r>
          <w:r w:rsidRPr="00DB0FCE">
            <w:rPr>
              <w:rFonts w:ascii="Arial" w:eastAsia="Arial" w:hAnsi="Arial" w:cs="Arial"/>
              <w:color w:val="0070C0"/>
              <w:spacing w:val="-2"/>
              <w:sz w:val="16"/>
              <w:szCs w:val="16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pacing w:val="-1"/>
              <w:sz w:val="16"/>
              <w:szCs w:val="16"/>
              <w:lang w:val="en-US"/>
            </w:rPr>
            <w:t>H</w:t>
          </w:r>
          <w:r w:rsidRPr="00DB0FCE">
            <w:rPr>
              <w:rFonts w:ascii="Arial" w:eastAsia="Arial" w:hAnsi="Arial" w:cs="Arial"/>
              <w:color w:val="0070C0"/>
              <w:sz w:val="16"/>
              <w:szCs w:val="16"/>
              <w:lang w:val="en-US"/>
            </w:rPr>
            <w:t>E</w:t>
          </w:r>
          <w:r>
            <w:rPr>
              <w:rFonts w:ascii="Arial" w:eastAsia="Arial" w:hAnsi="Arial" w:cs="Arial"/>
              <w:color w:val="0070C0"/>
              <w:sz w:val="16"/>
              <w:szCs w:val="16"/>
              <w:lang w:val="en-US"/>
            </w:rPr>
            <w:t xml:space="preserve"> </w:t>
          </w:r>
          <w:r w:rsidRPr="00DB0FCE">
            <w:rPr>
              <w:rFonts w:ascii="Arial" w:eastAsia="Arial" w:hAnsi="Arial" w:cs="Arial"/>
              <w:color w:val="0070C0"/>
              <w:spacing w:val="2"/>
              <w:w w:val="99"/>
              <w:sz w:val="20"/>
              <w:szCs w:val="20"/>
              <w:lang w:val="en-US"/>
            </w:rPr>
            <w:t>W</w:t>
          </w:r>
          <w:r w:rsidRPr="00DB0FCE">
            <w:rPr>
              <w:rFonts w:ascii="Arial" w:eastAsia="Arial" w:hAnsi="Arial" w:cs="Arial"/>
              <w:color w:val="0070C0"/>
              <w:spacing w:val="-2"/>
              <w:w w:val="99"/>
              <w:sz w:val="20"/>
              <w:szCs w:val="20"/>
              <w:lang w:val="en-US"/>
            </w:rPr>
            <w:t>C</w:t>
          </w:r>
          <w:r w:rsidRPr="00DB0FCE">
            <w:rPr>
              <w:rFonts w:ascii="Arial" w:eastAsia="Arial" w:hAnsi="Arial" w:cs="Arial"/>
              <w:color w:val="0070C0"/>
              <w:spacing w:val="3"/>
              <w:w w:val="99"/>
              <w:sz w:val="20"/>
              <w:szCs w:val="20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en-US"/>
            </w:rPr>
            <w:t xml:space="preserve">RS 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In</w:t>
          </w:r>
          <w:r w:rsidRPr="00DB0FCE"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en-US"/>
            </w:rPr>
            <w:t>s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pacing w:val="-1"/>
              <w:sz w:val="20"/>
              <w:szCs w:val="20"/>
              <w:lang w:val="en-US"/>
            </w:rPr>
            <w:t>i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pacing w:val="2"/>
              <w:sz w:val="20"/>
              <w:szCs w:val="20"/>
              <w:lang w:val="en-US"/>
            </w:rPr>
            <w:t>u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te</w:t>
          </w:r>
          <w:r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 xml:space="preserve"> </w:t>
          </w:r>
          <w:r w:rsidRPr="00DB0FCE">
            <w:rPr>
              <w:rFonts w:ascii="Arial" w:eastAsia="Arial" w:hAnsi="Arial" w:cs="Arial"/>
              <w:color w:val="0070C0"/>
              <w:spacing w:val="2"/>
              <w:sz w:val="20"/>
              <w:szCs w:val="20"/>
              <w:lang w:val="en-US"/>
            </w:rPr>
            <w:t>f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or</w:t>
          </w:r>
          <w:r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 xml:space="preserve"> </w:t>
          </w:r>
          <w:r w:rsidRPr="00DB0FCE">
            <w:rPr>
              <w:rFonts w:ascii="Arial" w:eastAsia="Arial" w:hAnsi="Arial" w:cs="Arial"/>
              <w:color w:val="0070C0"/>
              <w:spacing w:val="3"/>
              <w:sz w:val="20"/>
              <w:szCs w:val="20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en-US"/>
            </w:rPr>
            <w:t>r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an</w:t>
          </w:r>
          <w:r w:rsidRPr="00DB0FCE"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en-US"/>
            </w:rPr>
            <w:t>s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po</w:t>
          </w:r>
          <w:r w:rsidRPr="00DB0FCE"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en-US"/>
            </w:rPr>
            <w:t>r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t</w:t>
          </w:r>
          <w:r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 xml:space="preserve"> </w:t>
          </w:r>
          <w:r w:rsidRPr="00DB0FCE">
            <w:rPr>
              <w:rFonts w:ascii="Arial" w:eastAsia="Arial" w:hAnsi="Arial" w:cs="Arial"/>
              <w:color w:val="0070C0"/>
              <w:spacing w:val="-1"/>
              <w:w w:val="99"/>
              <w:sz w:val="20"/>
              <w:szCs w:val="20"/>
              <w:lang w:val="en-US"/>
            </w:rPr>
            <w:t>S</w:t>
          </w:r>
          <w:r w:rsidRPr="00DB0FCE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pacing w:val="2"/>
              <w:w w:val="99"/>
              <w:sz w:val="20"/>
              <w:szCs w:val="20"/>
              <w:lang w:val="en-US"/>
            </w:rPr>
            <w:t>u</w:t>
          </w:r>
          <w:r w:rsidRPr="00DB0FCE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en-US"/>
            </w:rPr>
            <w:t>d</w:t>
          </w:r>
          <w:r w:rsidRPr="00DB0FCE">
            <w:rPr>
              <w:rFonts w:ascii="Arial" w:eastAsia="Arial" w:hAnsi="Arial" w:cs="Arial"/>
              <w:color w:val="0070C0"/>
              <w:spacing w:val="1"/>
              <w:w w:val="99"/>
              <w:sz w:val="20"/>
              <w:szCs w:val="20"/>
              <w:lang w:val="en-US"/>
            </w:rPr>
            <w:t>i</w:t>
          </w:r>
          <w:r w:rsidRPr="00DB0FCE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en-US"/>
            </w:rPr>
            <w:t xml:space="preserve">es </w:t>
          </w:r>
          <w:r w:rsidRPr="00DB0FCE">
            <w:rPr>
              <w:rFonts w:ascii="Arial" w:eastAsia="Arial" w:hAnsi="Arial" w:cs="Arial"/>
              <w:color w:val="0070C0"/>
              <w:spacing w:val="3"/>
              <w:sz w:val="20"/>
              <w:szCs w:val="20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he</w:t>
          </w:r>
          <w:r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 xml:space="preserve"> 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Un</w:t>
          </w:r>
          <w:r w:rsidRPr="00DB0FCE">
            <w:rPr>
              <w:rFonts w:ascii="Arial" w:eastAsia="Arial" w:hAnsi="Arial" w:cs="Arial"/>
              <w:color w:val="0070C0"/>
              <w:spacing w:val="-1"/>
              <w:sz w:val="20"/>
              <w:szCs w:val="20"/>
              <w:lang w:val="en-US"/>
            </w:rPr>
            <w:t>i</w:t>
          </w:r>
          <w:r w:rsidRPr="00DB0FCE"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en-US"/>
            </w:rPr>
            <w:t>v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e</w:t>
          </w:r>
          <w:r w:rsidRPr="00DB0FCE"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en-US"/>
            </w:rPr>
            <w:t>rs</w:t>
          </w:r>
          <w:r w:rsidRPr="00DB0FCE">
            <w:rPr>
              <w:rFonts w:ascii="Arial" w:eastAsia="Arial" w:hAnsi="Arial" w:cs="Arial"/>
              <w:color w:val="0070C0"/>
              <w:spacing w:val="-1"/>
              <w:sz w:val="20"/>
              <w:szCs w:val="20"/>
              <w:lang w:val="en-US"/>
            </w:rPr>
            <w:t>i</w:t>
          </w:r>
          <w:r w:rsidRPr="00DB0FCE">
            <w:rPr>
              <w:rFonts w:ascii="Arial" w:eastAsia="Arial" w:hAnsi="Arial" w:cs="Arial"/>
              <w:color w:val="0070C0"/>
              <w:spacing w:val="5"/>
              <w:sz w:val="20"/>
              <w:szCs w:val="20"/>
              <w:lang w:val="en-US"/>
            </w:rPr>
            <w:t>t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>y</w:t>
          </w:r>
          <w:r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 xml:space="preserve"> </w:t>
          </w:r>
          <w:r w:rsidRPr="00DB0FCE">
            <w:rPr>
              <w:rFonts w:ascii="Arial" w:eastAsia="Arial" w:hAnsi="Arial" w:cs="Arial"/>
              <w:color w:val="0070C0"/>
              <w:sz w:val="20"/>
              <w:szCs w:val="20"/>
              <w:lang w:val="en-US"/>
            </w:rPr>
            <w:t xml:space="preserve">of </w:t>
          </w:r>
          <w:r w:rsidRPr="00DB0FCE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en-US"/>
            </w:rPr>
            <w:t>Le</w:t>
          </w:r>
          <w:r w:rsidRPr="00DB0FCE">
            <w:rPr>
              <w:rFonts w:ascii="Arial" w:eastAsia="Arial" w:hAnsi="Arial" w:cs="Arial"/>
              <w:color w:val="0070C0"/>
              <w:spacing w:val="2"/>
              <w:w w:val="99"/>
              <w:sz w:val="20"/>
              <w:szCs w:val="20"/>
              <w:lang w:val="en-US"/>
            </w:rPr>
            <w:t>e</w:t>
          </w:r>
          <w:r w:rsidRPr="00DB0FCE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en-US"/>
            </w:rPr>
            <w:t>ds</w:t>
          </w:r>
        </w:p>
        <w:p w14:paraId="204C8FD1" w14:textId="77777777" w:rsidR="007225D5" w:rsidRPr="007225D5" w:rsidRDefault="007225D5" w:rsidP="007225D5">
          <w:pPr>
            <w:spacing w:line="288" w:lineRule="auto"/>
            <w:ind w:left="-34" w:right="179" w:firstLine="374"/>
            <w:jc w:val="right"/>
            <w:rPr>
              <w:lang w:val="de-DE"/>
            </w:rPr>
          </w:pPr>
          <w:r w:rsidRPr="007225D5"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>Leeds</w:t>
          </w:r>
          <w:r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 xml:space="preserve"> </w:t>
          </w:r>
          <w:r w:rsidRPr="007225D5"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>L</w:t>
          </w:r>
          <w:r w:rsidRPr="007225D5">
            <w:rPr>
              <w:rFonts w:ascii="Arial" w:eastAsia="Arial" w:hAnsi="Arial" w:cs="Arial"/>
              <w:color w:val="0070C0"/>
              <w:spacing w:val="2"/>
              <w:sz w:val="20"/>
              <w:szCs w:val="20"/>
              <w:lang w:val="de-DE"/>
            </w:rPr>
            <w:t>S</w:t>
          </w:r>
          <w:r w:rsidRPr="007225D5"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>29</w:t>
          </w:r>
          <w:r w:rsidRPr="007225D5"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de-DE"/>
            </w:rPr>
            <w:t>J</w:t>
          </w:r>
          <w:r w:rsidRPr="007225D5"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 xml:space="preserve">T – </w:t>
          </w:r>
          <w:r w:rsidRPr="007225D5">
            <w:rPr>
              <w:rFonts w:ascii="Arial" w:eastAsia="Arial" w:hAnsi="Arial" w:cs="Arial"/>
              <w:color w:val="0070C0"/>
              <w:spacing w:val="-1"/>
              <w:w w:val="99"/>
              <w:sz w:val="20"/>
              <w:szCs w:val="20"/>
              <w:lang w:val="de-DE"/>
            </w:rPr>
            <w:t>E</w:t>
          </w:r>
          <w:r w:rsidRPr="007225D5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de-DE"/>
            </w:rPr>
            <w:t>ng</w:t>
          </w:r>
          <w:r w:rsidRPr="007225D5">
            <w:rPr>
              <w:rFonts w:ascii="Arial" w:eastAsia="Arial" w:hAnsi="Arial" w:cs="Arial"/>
              <w:color w:val="0070C0"/>
              <w:spacing w:val="1"/>
              <w:w w:val="99"/>
              <w:sz w:val="20"/>
              <w:szCs w:val="20"/>
              <w:lang w:val="de-DE"/>
            </w:rPr>
            <w:t>l</w:t>
          </w:r>
          <w:r w:rsidRPr="007225D5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de-DE"/>
            </w:rPr>
            <w:t>a</w:t>
          </w:r>
          <w:r w:rsidRPr="007225D5">
            <w:rPr>
              <w:rFonts w:ascii="Arial" w:eastAsia="Arial" w:hAnsi="Arial" w:cs="Arial"/>
              <w:color w:val="0070C0"/>
              <w:spacing w:val="2"/>
              <w:w w:val="99"/>
              <w:sz w:val="20"/>
              <w:szCs w:val="20"/>
              <w:lang w:val="de-DE"/>
            </w:rPr>
            <w:t>n</w:t>
          </w:r>
          <w:r w:rsidRPr="007225D5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de-DE"/>
            </w:rPr>
            <w:t>d</w:t>
          </w:r>
          <w:r w:rsidRPr="007225D5">
            <w:rPr>
              <w:rFonts w:ascii="Arial" w:eastAsia="Arial" w:hAnsi="Arial" w:cs="Arial"/>
              <w:color w:val="0070C0"/>
              <w:w w:val="99"/>
              <w:sz w:val="20"/>
              <w:szCs w:val="20"/>
              <w:lang w:val="de-DE"/>
            </w:rPr>
            <w:br/>
          </w:r>
          <w:r w:rsidRPr="007225D5">
            <w:rPr>
              <w:rFonts w:ascii="Arial" w:eastAsia="Arial" w:hAnsi="Arial" w:cs="Arial"/>
              <w:color w:val="0070C0"/>
              <w:spacing w:val="-1"/>
              <w:sz w:val="20"/>
              <w:szCs w:val="20"/>
              <w:lang w:val="de-DE"/>
            </w:rPr>
            <w:t>E</w:t>
          </w:r>
          <w:r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de-DE"/>
            </w:rPr>
            <w:t>-</w:t>
          </w:r>
          <w:r w:rsidRPr="007225D5"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>M</w:t>
          </w:r>
          <w:r w:rsidRPr="007225D5">
            <w:rPr>
              <w:rFonts w:ascii="Arial" w:eastAsia="Arial" w:hAnsi="Arial" w:cs="Arial"/>
              <w:color w:val="0070C0"/>
              <w:spacing w:val="2"/>
              <w:sz w:val="20"/>
              <w:szCs w:val="20"/>
              <w:lang w:val="de-DE"/>
            </w:rPr>
            <w:t>a</w:t>
          </w:r>
          <w:r w:rsidRPr="007225D5">
            <w:rPr>
              <w:rFonts w:ascii="Arial" w:eastAsia="Arial" w:hAnsi="Arial" w:cs="Arial"/>
              <w:color w:val="0070C0"/>
              <w:spacing w:val="-1"/>
              <w:sz w:val="20"/>
              <w:szCs w:val="20"/>
              <w:lang w:val="de-DE"/>
            </w:rPr>
            <w:t>il</w:t>
          </w:r>
          <w:r w:rsidRPr="007225D5"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>:</w:t>
          </w:r>
          <w:hyperlink r:id="rId2">
            <w:r w:rsidRPr="007225D5">
              <w:rPr>
                <w:rFonts w:ascii="Arial" w:eastAsia="Arial" w:hAnsi="Arial" w:cs="Arial"/>
                <w:color w:val="0070C0"/>
                <w:spacing w:val="-2"/>
                <w:w w:val="99"/>
                <w:sz w:val="20"/>
                <w:szCs w:val="20"/>
                <w:lang w:val="de-DE"/>
              </w:rPr>
              <w:t>w</w:t>
            </w:r>
            <w:r w:rsidRPr="007225D5">
              <w:rPr>
                <w:rFonts w:ascii="Arial" w:eastAsia="Arial" w:hAnsi="Arial" w:cs="Arial"/>
                <w:color w:val="0070C0"/>
                <w:spacing w:val="1"/>
                <w:w w:val="99"/>
                <w:sz w:val="20"/>
                <w:szCs w:val="20"/>
                <w:lang w:val="de-DE"/>
              </w:rPr>
              <w:t>c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t</w:t>
            </w:r>
            <w:r w:rsidRPr="007225D5">
              <w:rPr>
                <w:rFonts w:ascii="Arial" w:eastAsia="Arial" w:hAnsi="Arial" w:cs="Arial"/>
                <w:color w:val="0070C0"/>
                <w:spacing w:val="1"/>
                <w:w w:val="99"/>
                <w:sz w:val="20"/>
                <w:szCs w:val="20"/>
                <w:lang w:val="de-DE"/>
              </w:rPr>
              <w:t>rs</w:t>
            </w:r>
            <w:r w:rsidRPr="007225D5">
              <w:rPr>
                <w:rFonts w:ascii="Arial" w:eastAsia="Arial" w:hAnsi="Arial" w:cs="Arial"/>
                <w:color w:val="0070C0"/>
                <w:spacing w:val="2"/>
                <w:w w:val="99"/>
                <w:sz w:val="20"/>
                <w:szCs w:val="20"/>
                <w:lang w:val="de-DE"/>
              </w:rPr>
              <w:t>@</w:t>
            </w:r>
            <w:r w:rsidRPr="007225D5">
              <w:rPr>
                <w:rFonts w:ascii="Arial" w:eastAsia="Arial" w:hAnsi="Arial" w:cs="Arial"/>
                <w:color w:val="0070C0"/>
                <w:spacing w:val="-1"/>
                <w:w w:val="99"/>
                <w:sz w:val="20"/>
                <w:szCs w:val="20"/>
                <w:lang w:val="de-DE"/>
              </w:rPr>
              <w:t>l</w:t>
            </w:r>
            <w:r w:rsidRPr="007225D5">
              <w:rPr>
                <w:rFonts w:ascii="Arial" w:eastAsia="Arial" w:hAnsi="Arial" w:cs="Arial"/>
                <w:color w:val="0070C0"/>
                <w:spacing w:val="2"/>
                <w:w w:val="99"/>
                <w:sz w:val="20"/>
                <w:szCs w:val="20"/>
                <w:lang w:val="de-DE"/>
              </w:rPr>
              <w:t>e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ed</w:t>
            </w:r>
            <w:r w:rsidRPr="007225D5">
              <w:rPr>
                <w:rFonts w:ascii="Arial" w:eastAsia="Arial" w:hAnsi="Arial" w:cs="Arial"/>
                <w:color w:val="0070C0"/>
                <w:spacing w:val="1"/>
                <w:w w:val="99"/>
                <w:sz w:val="20"/>
                <w:szCs w:val="20"/>
                <w:lang w:val="de-DE"/>
              </w:rPr>
              <w:t>s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.a</w:t>
            </w:r>
            <w:r w:rsidRPr="007225D5">
              <w:rPr>
                <w:rFonts w:ascii="Arial" w:eastAsia="Arial" w:hAnsi="Arial" w:cs="Arial"/>
                <w:color w:val="0070C0"/>
                <w:spacing w:val="1"/>
                <w:w w:val="99"/>
                <w:sz w:val="20"/>
                <w:szCs w:val="20"/>
                <w:lang w:val="de-DE"/>
              </w:rPr>
              <w:t>c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.uk</w:t>
            </w:r>
          </w:hyperlink>
          <w:r>
            <w:rPr>
              <w:rFonts w:ascii="Arial" w:eastAsia="Arial" w:hAnsi="Arial" w:cs="Arial"/>
              <w:color w:val="0070C0"/>
              <w:w w:val="99"/>
              <w:sz w:val="20"/>
              <w:szCs w:val="20"/>
            </w:rPr>
            <w:br/>
          </w:r>
          <w:r w:rsidRPr="007225D5">
            <w:rPr>
              <w:rFonts w:ascii="Arial" w:eastAsia="Arial" w:hAnsi="Arial" w:cs="Arial"/>
              <w:color w:val="0070C0"/>
              <w:spacing w:val="6"/>
              <w:sz w:val="20"/>
              <w:szCs w:val="20"/>
              <w:lang w:val="de-DE"/>
            </w:rPr>
            <w:t>W</w:t>
          </w:r>
          <w:r w:rsidRPr="007225D5">
            <w:rPr>
              <w:rFonts w:ascii="Arial" w:eastAsia="Arial" w:hAnsi="Arial" w:cs="Arial"/>
              <w:color w:val="0070C0"/>
              <w:spacing w:val="-3"/>
              <w:sz w:val="20"/>
              <w:szCs w:val="20"/>
              <w:lang w:val="de-DE"/>
            </w:rPr>
            <w:t>e</w:t>
          </w:r>
          <w:r w:rsidRPr="007225D5"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>b</w:t>
          </w:r>
          <w:r w:rsidRPr="007225D5">
            <w:rPr>
              <w:rFonts w:ascii="Arial" w:eastAsia="Arial" w:hAnsi="Arial" w:cs="Arial"/>
              <w:color w:val="0070C0"/>
              <w:spacing w:val="1"/>
              <w:sz w:val="20"/>
              <w:szCs w:val="20"/>
              <w:lang w:val="de-DE"/>
            </w:rPr>
            <w:t>s</w:t>
          </w:r>
          <w:r w:rsidRPr="007225D5">
            <w:rPr>
              <w:rFonts w:ascii="Arial" w:eastAsia="Arial" w:hAnsi="Arial" w:cs="Arial"/>
              <w:color w:val="0070C0"/>
              <w:spacing w:val="-1"/>
              <w:sz w:val="20"/>
              <w:szCs w:val="20"/>
              <w:lang w:val="de-DE"/>
            </w:rPr>
            <w:t>i</w:t>
          </w:r>
          <w:r w:rsidRPr="007225D5">
            <w:rPr>
              <w:rFonts w:ascii="Arial" w:eastAsia="Arial" w:hAnsi="Arial" w:cs="Arial"/>
              <w:color w:val="0070C0"/>
              <w:sz w:val="20"/>
              <w:szCs w:val="20"/>
              <w:lang w:val="de-DE"/>
            </w:rPr>
            <w:t>te:</w:t>
          </w:r>
          <w:hyperlink r:id="rId3"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htt</w:t>
            </w:r>
            <w:r w:rsidRPr="007225D5">
              <w:rPr>
                <w:rFonts w:ascii="Arial" w:eastAsia="Arial" w:hAnsi="Arial" w:cs="Arial"/>
                <w:color w:val="0070C0"/>
                <w:spacing w:val="2"/>
                <w:w w:val="99"/>
                <w:sz w:val="20"/>
                <w:szCs w:val="20"/>
                <w:lang w:val="de-DE"/>
              </w:rPr>
              <w:t>p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:/</w:t>
            </w:r>
            <w:r w:rsidRPr="007225D5">
              <w:rPr>
                <w:rFonts w:ascii="Arial" w:eastAsia="Arial" w:hAnsi="Arial" w:cs="Arial"/>
                <w:color w:val="0070C0"/>
                <w:spacing w:val="2"/>
                <w:w w:val="99"/>
                <w:sz w:val="20"/>
                <w:szCs w:val="20"/>
                <w:lang w:val="de-DE"/>
              </w:rPr>
              <w:t>/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www</w:t>
            </w:r>
            <w:r w:rsidRPr="007225D5">
              <w:rPr>
                <w:rFonts w:ascii="Arial" w:eastAsia="Arial" w:hAnsi="Arial" w:cs="Arial"/>
                <w:color w:val="0070C0"/>
                <w:spacing w:val="2"/>
                <w:w w:val="99"/>
                <w:sz w:val="20"/>
                <w:szCs w:val="20"/>
                <w:lang w:val="de-DE"/>
              </w:rPr>
              <w:t>.</w:t>
            </w:r>
            <w:r w:rsidRPr="007225D5">
              <w:rPr>
                <w:rFonts w:ascii="Arial" w:eastAsia="Arial" w:hAnsi="Arial" w:cs="Arial"/>
                <w:color w:val="0070C0"/>
                <w:spacing w:val="-2"/>
                <w:w w:val="99"/>
                <w:sz w:val="20"/>
                <w:szCs w:val="20"/>
                <w:lang w:val="de-DE"/>
              </w:rPr>
              <w:t>w</w:t>
            </w:r>
            <w:r w:rsidRPr="007225D5">
              <w:rPr>
                <w:rFonts w:ascii="Arial" w:eastAsia="Arial" w:hAnsi="Arial" w:cs="Arial"/>
                <w:color w:val="0070C0"/>
                <w:spacing w:val="1"/>
                <w:w w:val="99"/>
                <w:sz w:val="20"/>
                <w:szCs w:val="20"/>
                <w:lang w:val="de-DE"/>
              </w:rPr>
              <w:t>c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t</w:t>
            </w:r>
            <w:r w:rsidRPr="007225D5">
              <w:rPr>
                <w:rFonts w:ascii="Arial" w:eastAsia="Arial" w:hAnsi="Arial" w:cs="Arial"/>
                <w:color w:val="0070C0"/>
                <w:spacing w:val="1"/>
                <w:w w:val="99"/>
                <w:sz w:val="20"/>
                <w:szCs w:val="20"/>
                <w:lang w:val="de-DE"/>
              </w:rPr>
              <w:t>rs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.o</w:t>
            </w:r>
            <w:r w:rsidRPr="007225D5">
              <w:rPr>
                <w:rFonts w:ascii="Arial" w:eastAsia="Arial" w:hAnsi="Arial" w:cs="Arial"/>
                <w:color w:val="0070C0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7225D5">
              <w:rPr>
                <w:rFonts w:ascii="Arial" w:eastAsia="Arial" w:hAnsi="Arial" w:cs="Arial"/>
                <w:color w:val="0070C0"/>
                <w:w w:val="99"/>
                <w:sz w:val="20"/>
                <w:szCs w:val="20"/>
                <w:lang w:val="de-DE"/>
              </w:rPr>
              <w:t>g</w:t>
            </w:r>
          </w:hyperlink>
        </w:p>
      </w:tc>
    </w:tr>
  </w:tbl>
  <w:p w14:paraId="1A4A2242" w14:textId="77777777" w:rsidR="007225D5" w:rsidRPr="007225D5" w:rsidRDefault="007225D5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F9E"/>
    <w:multiLevelType w:val="hybridMultilevel"/>
    <w:tmpl w:val="DB8E61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864"/>
    <w:multiLevelType w:val="hybridMultilevel"/>
    <w:tmpl w:val="BBF66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6A"/>
    <w:multiLevelType w:val="hybridMultilevel"/>
    <w:tmpl w:val="E886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112E"/>
    <w:multiLevelType w:val="hybridMultilevel"/>
    <w:tmpl w:val="AA4E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0EFC"/>
    <w:multiLevelType w:val="hybridMultilevel"/>
    <w:tmpl w:val="24E843E4"/>
    <w:lvl w:ilvl="0" w:tplc="2914499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0F4D"/>
    <w:multiLevelType w:val="hybridMultilevel"/>
    <w:tmpl w:val="40B00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A043B"/>
    <w:multiLevelType w:val="hybridMultilevel"/>
    <w:tmpl w:val="0AB4E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F0D8D"/>
    <w:multiLevelType w:val="hybridMultilevel"/>
    <w:tmpl w:val="041A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0"/>
    <w:rsid w:val="00032E9E"/>
    <w:rsid w:val="000455AC"/>
    <w:rsid w:val="0008146F"/>
    <w:rsid w:val="00086550"/>
    <w:rsid w:val="00094D1D"/>
    <w:rsid w:val="000E4AB1"/>
    <w:rsid w:val="00100A18"/>
    <w:rsid w:val="00107CFC"/>
    <w:rsid w:val="001128C8"/>
    <w:rsid w:val="0012227B"/>
    <w:rsid w:val="00134547"/>
    <w:rsid w:val="001A4255"/>
    <w:rsid w:val="001B03C8"/>
    <w:rsid w:val="001C0250"/>
    <w:rsid w:val="001D2618"/>
    <w:rsid w:val="001D483F"/>
    <w:rsid w:val="001E5D82"/>
    <w:rsid w:val="001E79BC"/>
    <w:rsid w:val="001F1281"/>
    <w:rsid w:val="002154AE"/>
    <w:rsid w:val="0023678B"/>
    <w:rsid w:val="00240540"/>
    <w:rsid w:val="002649DC"/>
    <w:rsid w:val="00291C50"/>
    <w:rsid w:val="002977B8"/>
    <w:rsid w:val="002B573A"/>
    <w:rsid w:val="002B6855"/>
    <w:rsid w:val="002C3610"/>
    <w:rsid w:val="002C5892"/>
    <w:rsid w:val="002D2DF8"/>
    <w:rsid w:val="002D3F73"/>
    <w:rsid w:val="002D7096"/>
    <w:rsid w:val="002D70C0"/>
    <w:rsid w:val="002E3311"/>
    <w:rsid w:val="002F6D5E"/>
    <w:rsid w:val="00317751"/>
    <w:rsid w:val="0032292C"/>
    <w:rsid w:val="00332A19"/>
    <w:rsid w:val="00353021"/>
    <w:rsid w:val="00360BF2"/>
    <w:rsid w:val="00361C1E"/>
    <w:rsid w:val="0038102C"/>
    <w:rsid w:val="00385461"/>
    <w:rsid w:val="003A20B9"/>
    <w:rsid w:val="003A5E68"/>
    <w:rsid w:val="003C60F0"/>
    <w:rsid w:val="003C687C"/>
    <w:rsid w:val="003D73F7"/>
    <w:rsid w:val="003E33BA"/>
    <w:rsid w:val="003E45DC"/>
    <w:rsid w:val="003E7E64"/>
    <w:rsid w:val="00410D19"/>
    <w:rsid w:val="00412E69"/>
    <w:rsid w:val="00421197"/>
    <w:rsid w:val="00430DC8"/>
    <w:rsid w:val="00450F8C"/>
    <w:rsid w:val="0045496F"/>
    <w:rsid w:val="004858D0"/>
    <w:rsid w:val="00490F17"/>
    <w:rsid w:val="004A0771"/>
    <w:rsid w:val="004A7976"/>
    <w:rsid w:val="004E1A8C"/>
    <w:rsid w:val="004F189B"/>
    <w:rsid w:val="004F6A1F"/>
    <w:rsid w:val="005078B5"/>
    <w:rsid w:val="00514A13"/>
    <w:rsid w:val="00524C26"/>
    <w:rsid w:val="0052623D"/>
    <w:rsid w:val="0053295B"/>
    <w:rsid w:val="00532E60"/>
    <w:rsid w:val="0054767F"/>
    <w:rsid w:val="005519CA"/>
    <w:rsid w:val="00571915"/>
    <w:rsid w:val="00593601"/>
    <w:rsid w:val="005B433C"/>
    <w:rsid w:val="005C1972"/>
    <w:rsid w:val="005D399C"/>
    <w:rsid w:val="005D6E9A"/>
    <w:rsid w:val="005E19F5"/>
    <w:rsid w:val="005F1A4A"/>
    <w:rsid w:val="005F5C2B"/>
    <w:rsid w:val="00605318"/>
    <w:rsid w:val="006115B6"/>
    <w:rsid w:val="006405C7"/>
    <w:rsid w:val="006543A5"/>
    <w:rsid w:val="00660693"/>
    <w:rsid w:val="00677151"/>
    <w:rsid w:val="006928E7"/>
    <w:rsid w:val="006A36AE"/>
    <w:rsid w:val="006B3F3C"/>
    <w:rsid w:val="006E3213"/>
    <w:rsid w:val="006F2343"/>
    <w:rsid w:val="006F3684"/>
    <w:rsid w:val="00710778"/>
    <w:rsid w:val="007225D5"/>
    <w:rsid w:val="00744A6D"/>
    <w:rsid w:val="00745446"/>
    <w:rsid w:val="007545D2"/>
    <w:rsid w:val="00766633"/>
    <w:rsid w:val="007963CA"/>
    <w:rsid w:val="007A4F6C"/>
    <w:rsid w:val="007C1BBE"/>
    <w:rsid w:val="007C5C9D"/>
    <w:rsid w:val="007F353F"/>
    <w:rsid w:val="00814278"/>
    <w:rsid w:val="00815D61"/>
    <w:rsid w:val="008175BE"/>
    <w:rsid w:val="0085198E"/>
    <w:rsid w:val="00856905"/>
    <w:rsid w:val="0086238C"/>
    <w:rsid w:val="00862B0E"/>
    <w:rsid w:val="0088166C"/>
    <w:rsid w:val="00883709"/>
    <w:rsid w:val="00885061"/>
    <w:rsid w:val="008850BC"/>
    <w:rsid w:val="00891FDD"/>
    <w:rsid w:val="008A3394"/>
    <w:rsid w:val="008B1471"/>
    <w:rsid w:val="008D2135"/>
    <w:rsid w:val="008E097D"/>
    <w:rsid w:val="008E4088"/>
    <w:rsid w:val="008F238F"/>
    <w:rsid w:val="009376A0"/>
    <w:rsid w:val="00946B7E"/>
    <w:rsid w:val="0095146D"/>
    <w:rsid w:val="0095650A"/>
    <w:rsid w:val="00966AA6"/>
    <w:rsid w:val="00966C38"/>
    <w:rsid w:val="009716CF"/>
    <w:rsid w:val="009759EC"/>
    <w:rsid w:val="00995918"/>
    <w:rsid w:val="009A06A8"/>
    <w:rsid w:val="009A59C1"/>
    <w:rsid w:val="009B24DA"/>
    <w:rsid w:val="009B70EF"/>
    <w:rsid w:val="009D7722"/>
    <w:rsid w:val="009E34A8"/>
    <w:rsid w:val="009F35FD"/>
    <w:rsid w:val="00A13899"/>
    <w:rsid w:val="00A1761B"/>
    <w:rsid w:val="00A21000"/>
    <w:rsid w:val="00A23387"/>
    <w:rsid w:val="00A2459C"/>
    <w:rsid w:val="00A40676"/>
    <w:rsid w:val="00A53A6F"/>
    <w:rsid w:val="00A70021"/>
    <w:rsid w:val="00AA64EF"/>
    <w:rsid w:val="00AD2FA5"/>
    <w:rsid w:val="00AE2BFA"/>
    <w:rsid w:val="00AF47CC"/>
    <w:rsid w:val="00B478BC"/>
    <w:rsid w:val="00B5793D"/>
    <w:rsid w:val="00B64B2A"/>
    <w:rsid w:val="00B8764F"/>
    <w:rsid w:val="00B96E64"/>
    <w:rsid w:val="00BA2027"/>
    <w:rsid w:val="00BA4C5C"/>
    <w:rsid w:val="00BC7315"/>
    <w:rsid w:val="00BD705F"/>
    <w:rsid w:val="00BE3842"/>
    <w:rsid w:val="00BE4843"/>
    <w:rsid w:val="00BE7F43"/>
    <w:rsid w:val="00C05A4F"/>
    <w:rsid w:val="00C30E5C"/>
    <w:rsid w:val="00C3516E"/>
    <w:rsid w:val="00C35B81"/>
    <w:rsid w:val="00C43EB6"/>
    <w:rsid w:val="00C47F65"/>
    <w:rsid w:val="00C57AE7"/>
    <w:rsid w:val="00C61EA7"/>
    <w:rsid w:val="00C67503"/>
    <w:rsid w:val="00C951F9"/>
    <w:rsid w:val="00C95FD2"/>
    <w:rsid w:val="00CB34A8"/>
    <w:rsid w:val="00CB7834"/>
    <w:rsid w:val="00CC0530"/>
    <w:rsid w:val="00CC4BA2"/>
    <w:rsid w:val="00CC7A86"/>
    <w:rsid w:val="00D36B2A"/>
    <w:rsid w:val="00D64088"/>
    <w:rsid w:val="00D80B0E"/>
    <w:rsid w:val="00D944BC"/>
    <w:rsid w:val="00D97AC7"/>
    <w:rsid w:val="00DB65AA"/>
    <w:rsid w:val="00DB7E47"/>
    <w:rsid w:val="00DC4B00"/>
    <w:rsid w:val="00E24BB2"/>
    <w:rsid w:val="00E51792"/>
    <w:rsid w:val="00E52AC9"/>
    <w:rsid w:val="00E61A5F"/>
    <w:rsid w:val="00E928A7"/>
    <w:rsid w:val="00EC461D"/>
    <w:rsid w:val="00ED4C68"/>
    <w:rsid w:val="00EF6A31"/>
    <w:rsid w:val="00F03B85"/>
    <w:rsid w:val="00F24AE3"/>
    <w:rsid w:val="00F36A28"/>
    <w:rsid w:val="00F4351D"/>
    <w:rsid w:val="00F63012"/>
    <w:rsid w:val="00F71119"/>
    <w:rsid w:val="00F85C51"/>
    <w:rsid w:val="00FA7400"/>
    <w:rsid w:val="00FD021A"/>
    <w:rsid w:val="00FD46FD"/>
    <w:rsid w:val="00FE0E8C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BE40"/>
  <w15:docId w15:val="{CF48197D-F993-46A3-9CD3-FBB7045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2D70C0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0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233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2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D5"/>
  </w:style>
  <w:style w:type="paragraph" w:styleId="Footer">
    <w:name w:val="footer"/>
    <w:basedOn w:val="Normal"/>
    <w:link w:val="FooterChar"/>
    <w:uiPriority w:val="99"/>
    <w:unhideWhenUsed/>
    <w:rsid w:val="0072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D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08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5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45D2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5F5C2B"/>
    <w:rPr>
      <w:i/>
      <w:iCs/>
    </w:rPr>
  </w:style>
  <w:style w:type="character" w:styleId="Strong">
    <w:name w:val="Strong"/>
    <w:basedOn w:val="DefaultParagraphFont"/>
    <w:uiPriority w:val="22"/>
    <w:qFormat/>
    <w:rsid w:val="005F5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r.springerope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keru.shibayama@tuwien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ctr2022.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ctrs.org/" TargetMode="External"/><Relationship Id="rId2" Type="http://schemas.openxmlformats.org/officeDocument/2006/relationships/hyperlink" Target="mailto:wctrs@leeds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Shibayama</dc:creator>
  <cp:keywords/>
  <dc:description/>
  <cp:lastModifiedBy>Emma Pickering</cp:lastModifiedBy>
  <cp:revision>3</cp:revision>
  <dcterms:created xsi:type="dcterms:W3CDTF">2021-05-13T15:23:00Z</dcterms:created>
  <dcterms:modified xsi:type="dcterms:W3CDTF">2021-05-13T15:27:00Z</dcterms:modified>
</cp:coreProperties>
</file>